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78E6" w:rsidRPr="00A670C5" w:rsidRDefault="00A670C5">
      <w:pPr>
        <w:rPr>
          <w:b/>
          <w:bCs/>
          <w:sz w:val="32"/>
          <w:szCs w:val="32"/>
        </w:rPr>
      </w:pPr>
      <w:r w:rsidRPr="00A670C5">
        <w:rPr>
          <w:b/>
          <w:bCs/>
          <w:sz w:val="32"/>
          <w:szCs w:val="32"/>
        </w:rPr>
        <w:t>Tietosuojailmoitus: Osallistuja-ilmoitukset ESR-hankkeisiin</w:t>
      </w:r>
    </w:p>
    <w:p w:rsidR="00A670C5" w:rsidRPr="00A670C5" w:rsidRDefault="00A670C5">
      <w:pPr>
        <w:rPr>
          <w:sz w:val="24"/>
          <w:szCs w:val="24"/>
        </w:rPr>
      </w:pPr>
    </w:p>
    <w:p w:rsidR="00A670C5" w:rsidRDefault="00A670C5" w:rsidP="00C33573">
      <w:pPr>
        <w:jc w:val="both"/>
        <w:rPr>
          <w:sz w:val="24"/>
          <w:szCs w:val="24"/>
        </w:rPr>
      </w:pPr>
      <w:r w:rsidRPr="00A670C5">
        <w:rPr>
          <w:sz w:val="24"/>
          <w:szCs w:val="24"/>
        </w:rPr>
        <w:t>Tietosuoja-asetuksen (2016/679) artikla</w:t>
      </w:r>
      <w:r>
        <w:rPr>
          <w:sz w:val="24"/>
          <w:szCs w:val="24"/>
        </w:rPr>
        <w:t>t</w:t>
      </w:r>
      <w:r w:rsidRPr="00A670C5">
        <w:rPr>
          <w:sz w:val="24"/>
          <w:szCs w:val="24"/>
        </w:rPr>
        <w:t xml:space="preserve"> 13 ja 14</w:t>
      </w:r>
      <w:r w:rsidRPr="00A670C5">
        <w:rPr>
          <w:sz w:val="24"/>
          <w:szCs w:val="24"/>
        </w:rPr>
        <w:t>.</w:t>
      </w:r>
    </w:p>
    <w:p w:rsidR="00A0231A" w:rsidRPr="00A670C5" w:rsidRDefault="00A0231A" w:rsidP="00C33573">
      <w:pPr>
        <w:jc w:val="both"/>
        <w:rPr>
          <w:sz w:val="24"/>
          <w:szCs w:val="24"/>
        </w:rPr>
      </w:pPr>
    </w:p>
    <w:p w:rsidR="00A670C5" w:rsidRPr="00966CDB" w:rsidRDefault="00A670C5" w:rsidP="00C33573">
      <w:pPr>
        <w:jc w:val="both"/>
        <w:rPr>
          <w:b/>
          <w:bCs/>
          <w:sz w:val="28"/>
          <w:szCs w:val="28"/>
        </w:rPr>
      </w:pPr>
      <w:r w:rsidRPr="00966CDB">
        <w:rPr>
          <w:b/>
          <w:bCs/>
          <w:sz w:val="28"/>
          <w:szCs w:val="28"/>
        </w:rPr>
        <w:t>Henkilötietojen käsittely ja tarkoitus</w:t>
      </w:r>
    </w:p>
    <w:p w:rsidR="00A670C5" w:rsidRDefault="00A670C5" w:rsidP="00C33573">
      <w:pPr>
        <w:jc w:val="both"/>
        <w:rPr>
          <w:sz w:val="24"/>
          <w:szCs w:val="24"/>
        </w:rPr>
      </w:pPr>
      <w:r w:rsidRPr="00A670C5">
        <w:rPr>
          <w:sz w:val="24"/>
          <w:szCs w:val="24"/>
        </w:rPr>
        <w:t>ESR-hankkeessa</w:t>
      </w:r>
      <w:r>
        <w:rPr>
          <w:sz w:val="24"/>
          <w:szCs w:val="24"/>
        </w:rPr>
        <w:t xml:space="preserve"> kerättävien tietojen tarkoitus on osoittaa, kuinka hyvin hankkeen tavoitteet ovat toteutuneet. Tietoja keräämällä seurataan, että toimenpiteet kohdistuvat niihin ihmisiin, joihin Euroopan sosiaalirahaston rahoitusta </w:t>
      </w:r>
      <w:r w:rsidR="00C33573">
        <w:rPr>
          <w:sz w:val="24"/>
          <w:szCs w:val="24"/>
        </w:rPr>
        <w:t>on tarkoitettu käytettävän.</w:t>
      </w:r>
    </w:p>
    <w:p w:rsidR="00C33573" w:rsidRDefault="00C33573" w:rsidP="00C33573">
      <w:pPr>
        <w:jc w:val="both"/>
        <w:rPr>
          <w:sz w:val="24"/>
          <w:szCs w:val="24"/>
        </w:rPr>
      </w:pPr>
      <w:r>
        <w:rPr>
          <w:sz w:val="24"/>
          <w:szCs w:val="24"/>
        </w:rPr>
        <w:t>Henkilötietojen käsittelyn oikeusperuste on yleinen etu. Tiedot kerätään henkilön suostumuksella paperilomakkeella, jonka allekirjoittaessaan henkilö antaa luvan tietojen rekisteröimiseen ja käyttämiseen Euroopan sosiaalirahaston järjestelmissä ESR:n määrittämällä tavalla. Henkilö voi myös olla antamatta henkilötietojaan joko kokonaan tai osin.</w:t>
      </w:r>
    </w:p>
    <w:p w:rsidR="00C33573" w:rsidRPr="00C33573" w:rsidRDefault="00A0231A" w:rsidP="00C33573">
      <w:pPr>
        <w:jc w:val="both"/>
        <w:rPr>
          <w:sz w:val="24"/>
          <w:szCs w:val="24"/>
        </w:rPr>
      </w:pPr>
      <w:r>
        <w:rPr>
          <w:sz w:val="24"/>
          <w:szCs w:val="24"/>
        </w:rPr>
        <w:t>Lainsäädäntö johon käsittely perustuu:</w:t>
      </w:r>
    </w:p>
    <w:p w:rsidR="00C33573" w:rsidRDefault="00C33573" w:rsidP="00C33573">
      <w:pPr>
        <w:pStyle w:val="ListParagraph"/>
        <w:numPr>
          <w:ilvl w:val="0"/>
          <w:numId w:val="1"/>
        </w:numPr>
        <w:jc w:val="both"/>
        <w:rPr>
          <w:sz w:val="24"/>
          <w:szCs w:val="24"/>
        </w:rPr>
      </w:pPr>
      <w:r w:rsidRPr="00C33573">
        <w:rPr>
          <w:sz w:val="24"/>
          <w:szCs w:val="24"/>
        </w:rPr>
        <w:t>EU:n yleisasetus 1303/2013</w:t>
      </w:r>
    </w:p>
    <w:p w:rsidR="00C33573" w:rsidRDefault="00C33573" w:rsidP="00C33573">
      <w:pPr>
        <w:pStyle w:val="ListParagraph"/>
        <w:numPr>
          <w:ilvl w:val="0"/>
          <w:numId w:val="1"/>
        </w:numPr>
        <w:jc w:val="both"/>
        <w:rPr>
          <w:sz w:val="24"/>
          <w:szCs w:val="24"/>
        </w:rPr>
      </w:pPr>
      <w:r w:rsidRPr="00C33573">
        <w:rPr>
          <w:sz w:val="24"/>
          <w:szCs w:val="24"/>
        </w:rPr>
        <w:t>EU:n ESR-asetus 1304/2013</w:t>
      </w:r>
    </w:p>
    <w:p w:rsidR="00C33573" w:rsidRDefault="00C33573" w:rsidP="00C33573">
      <w:pPr>
        <w:pStyle w:val="ListParagraph"/>
        <w:numPr>
          <w:ilvl w:val="0"/>
          <w:numId w:val="1"/>
        </w:numPr>
        <w:jc w:val="both"/>
        <w:rPr>
          <w:sz w:val="24"/>
          <w:szCs w:val="24"/>
        </w:rPr>
      </w:pPr>
      <w:r w:rsidRPr="00C33573">
        <w:rPr>
          <w:sz w:val="24"/>
          <w:szCs w:val="24"/>
        </w:rPr>
        <w:t>Laki alueiden kehittämisestä ja rakennerahastotoiminnan hallinnoinnista (7/2014)</w:t>
      </w:r>
    </w:p>
    <w:p w:rsidR="00C33573" w:rsidRDefault="00C33573" w:rsidP="00C33573">
      <w:pPr>
        <w:pStyle w:val="ListParagraph"/>
        <w:numPr>
          <w:ilvl w:val="0"/>
          <w:numId w:val="1"/>
        </w:numPr>
        <w:jc w:val="both"/>
        <w:rPr>
          <w:sz w:val="24"/>
          <w:szCs w:val="24"/>
        </w:rPr>
      </w:pPr>
      <w:r w:rsidRPr="00C33573">
        <w:rPr>
          <w:sz w:val="24"/>
          <w:szCs w:val="24"/>
        </w:rPr>
        <w:t>Laki alueiden kehittämisen ja rakennerahastohankkeiden rahoittamisesta (8/2014)</w:t>
      </w:r>
    </w:p>
    <w:p w:rsidR="00C33573" w:rsidRDefault="00C33573" w:rsidP="00C33573">
      <w:pPr>
        <w:pStyle w:val="ListParagraph"/>
        <w:numPr>
          <w:ilvl w:val="0"/>
          <w:numId w:val="1"/>
        </w:numPr>
        <w:jc w:val="both"/>
        <w:rPr>
          <w:sz w:val="24"/>
          <w:szCs w:val="24"/>
        </w:rPr>
      </w:pPr>
      <w:r w:rsidRPr="00C33573">
        <w:rPr>
          <w:sz w:val="24"/>
          <w:szCs w:val="24"/>
        </w:rPr>
        <w:t>Valtioneuvoston asetus alueiden kehittämisestä ja rakennerahastotoiminnan hallinnoinnista (356/2014)</w:t>
      </w:r>
    </w:p>
    <w:p w:rsidR="00C33573" w:rsidRDefault="00C33573" w:rsidP="00C33573">
      <w:pPr>
        <w:pStyle w:val="ListParagraph"/>
        <w:numPr>
          <w:ilvl w:val="0"/>
          <w:numId w:val="1"/>
        </w:numPr>
        <w:jc w:val="both"/>
        <w:rPr>
          <w:sz w:val="24"/>
          <w:szCs w:val="24"/>
        </w:rPr>
      </w:pPr>
      <w:r w:rsidRPr="00C33573">
        <w:rPr>
          <w:sz w:val="24"/>
          <w:szCs w:val="24"/>
        </w:rPr>
        <w:t>Valtioneuvoston asetus alueiden kehittämisen ja rakennerahastohankkeiden rahoittamisesta (357/2014)</w:t>
      </w:r>
    </w:p>
    <w:p w:rsidR="00C33573" w:rsidRDefault="00C33573" w:rsidP="00C33573">
      <w:pPr>
        <w:pStyle w:val="ListParagraph"/>
        <w:numPr>
          <w:ilvl w:val="0"/>
          <w:numId w:val="1"/>
        </w:numPr>
        <w:jc w:val="both"/>
        <w:rPr>
          <w:sz w:val="24"/>
          <w:szCs w:val="24"/>
        </w:rPr>
      </w:pPr>
      <w:r w:rsidRPr="00C33573">
        <w:rPr>
          <w:sz w:val="24"/>
          <w:szCs w:val="24"/>
        </w:rPr>
        <w:t>Valtioneuvoston asetus rakennerahastosta osarahoitettavien kustannusten tukikelpoisuudesta (358/2014)</w:t>
      </w:r>
    </w:p>
    <w:p w:rsidR="00C33573" w:rsidRDefault="00C33573" w:rsidP="00C33573">
      <w:pPr>
        <w:jc w:val="both"/>
        <w:rPr>
          <w:sz w:val="24"/>
          <w:szCs w:val="24"/>
        </w:rPr>
      </w:pPr>
    </w:p>
    <w:p w:rsidR="00733F0B" w:rsidRPr="00733F0B" w:rsidRDefault="00C33573" w:rsidP="00733F0B">
      <w:pPr>
        <w:jc w:val="both"/>
        <w:rPr>
          <w:b/>
          <w:bCs/>
          <w:sz w:val="28"/>
          <w:szCs w:val="28"/>
        </w:rPr>
      </w:pPr>
      <w:r w:rsidRPr="00966CDB">
        <w:rPr>
          <w:b/>
          <w:bCs/>
          <w:sz w:val="28"/>
          <w:szCs w:val="28"/>
        </w:rPr>
        <w:t>Rekisterin henkilöstötietosisältö, sekä niiden säilytysaika</w:t>
      </w: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F"/>
        <w:tblCellMar>
          <w:top w:w="15" w:type="dxa"/>
          <w:left w:w="15" w:type="dxa"/>
          <w:bottom w:w="15" w:type="dxa"/>
          <w:right w:w="15" w:type="dxa"/>
        </w:tblCellMar>
        <w:tblLook w:val="04A0" w:firstRow="1" w:lastRow="0" w:firstColumn="1" w:lastColumn="0" w:noHBand="0" w:noVBand="1"/>
      </w:tblPr>
      <w:tblGrid>
        <w:gridCol w:w="8450"/>
      </w:tblGrid>
      <w:tr w:rsidR="00733F0B" w:rsidRPr="00733F0B" w:rsidTr="00733F0B">
        <w:trPr>
          <w:tblHeader/>
        </w:trPr>
        <w:tc>
          <w:tcPr>
            <w:tcW w:w="8450" w:type="dxa"/>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b/>
                <w:bCs/>
                <w:color w:val="333333"/>
                <w:sz w:val="24"/>
                <w:szCs w:val="24"/>
                <w:lang w:eastAsia="fi-FI"/>
              </w:rPr>
            </w:pPr>
            <w:r w:rsidRPr="00733F0B">
              <w:rPr>
                <w:rFonts w:eastAsia="Times New Roman" w:cstheme="minorHAnsi"/>
                <w:b/>
                <w:bCs/>
                <w:color w:val="333333"/>
                <w:sz w:val="24"/>
                <w:szCs w:val="24"/>
                <w:lang w:eastAsia="fi-FI"/>
              </w:rPr>
              <w:t>Tietoryhmän nimi</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Nimi</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Henkilötunnus</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Yhteystiedot</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Työllisyystilanne</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Koulutustausta</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Perhesuhteet</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lastRenderedPageBreak/>
              <w:t>Ulkomaalaistaustaisuus tai kuuluminen (kyllä/ei)</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Vammaisetuisuus tai vamma (kyllä/ei)</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Asunnottomuus tai asunnottomuusuhan alainen (kyllä/ei)</w:t>
            </w:r>
          </w:p>
        </w:tc>
      </w:tr>
      <w:tr w:rsidR="00733F0B" w:rsidRPr="00733F0B" w:rsidTr="00733F0B">
        <w:tc>
          <w:tcPr>
            <w:tcW w:w="0" w:type="auto"/>
            <w:shd w:val="clear" w:color="auto" w:fill="FEFEFF"/>
            <w:tcMar>
              <w:top w:w="72" w:type="dxa"/>
              <w:left w:w="72" w:type="dxa"/>
              <w:bottom w:w="72" w:type="dxa"/>
              <w:right w:w="72" w:type="dxa"/>
            </w:tcMar>
            <w:hideMark/>
          </w:tcPr>
          <w:p w:rsidR="00733F0B" w:rsidRPr="00733F0B" w:rsidRDefault="00733F0B" w:rsidP="00733F0B">
            <w:pPr>
              <w:spacing w:after="0" w:line="360" w:lineRule="atLeast"/>
              <w:rPr>
                <w:rFonts w:eastAsia="Times New Roman" w:cstheme="minorHAnsi"/>
                <w:color w:val="333333"/>
                <w:sz w:val="24"/>
                <w:szCs w:val="24"/>
                <w:lang w:eastAsia="fi-FI"/>
              </w:rPr>
            </w:pPr>
            <w:r w:rsidRPr="00733F0B">
              <w:rPr>
                <w:rFonts w:eastAsia="Times New Roman" w:cstheme="minorHAnsi"/>
                <w:color w:val="333333"/>
                <w:sz w:val="24"/>
                <w:szCs w:val="24"/>
                <w:lang w:eastAsia="fi-FI"/>
              </w:rPr>
              <w:t>Sukupuoli</w:t>
            </w:r>
          </w:p>
        </w:tc>
      </w:tr>
    </w:tbl>
    <w:p w:rsidR="00C33573" w:rsidRDefault="00C33573" w:rsidP="00C33573">
      <w:pPr>
        <w:jc w:val="both"/>
        <w:rPr>
          <w:sz w:val="24"/>
          <w:szCs w:val="24"/>
        </w:rPr>
      </w:pPr>
    </w:p>
    <w:p w:rsidR="00C33573" w:rsidRDefault="00C33573" w:rsidP="00C33573">
      <w:pPr>
        <w:jc w:val="both"/>
        <w:rPr>
          <w:sz w:val="24"/>
          <w:szCs w:val="24"/>
        </w:rPr>
      </w:pPr>
      <w:r>
        <w:rPr>
          <w:sz w:val="24"/>
          <w:szCs w:val="24"/>
        </w:rPr>
        <w:t>Henkilötiedot säilytetään 10 vuotta hankkeen päättymispäivästä.</w:t>
      </w:r>
    </w:p>
    <w:p w:rsidR="00C33573" w:rsidRDefault="00C33573" w:rsidP="00C33573">
      <w:pPr>
        <w:jc w:val="both"/>
        <w:rPr>
          <w:sz w:val="24"/>
          <w:szCs w:val="24"/>
        </w:rPr>
      </w:pPr>
      <w:r w:rsidRPr="00C33573">
        <w:rPr>
          <w:sz w:val="24"/>
          <w:szCs w:val="24"/>
        </w:rPr>
        <w:t>Tuen myöntävä viranomainen voi jatkaa säilyttämisaikaa EU:n yleisasetuksen 1303/2013 140 artiklan 1 kohdan neljännen alakohdan nojalla.</w:t>
      </w:r>
    </w:p>
    <w:p w:rsidR="00A0231A" w:rsidRDefault="00A0231A" w:rsidP="00C33573">
      <w:pPr>
        <w:jc w:val="both"/>
        <w:rPr>
          <w:sz w:val="24"/>
          <w:szCs w:val="24"/>
        </w:rPr>
      </w:pPr>
      <w:r>
        <w:rPr>
          <w:sz w:val="24"/>
          <w:szCs w:val="24"/>
        </w:rPr>
        <w:t xml:space="preserve"> </w:t>
      </w:r>
    </w:p>
    <w:p w:rsidR="00A0231A" w:rsidRPr="00966CDB" w:rsidRDefault="00A0231A" w:rsidP="00A0231A">
      <w:pPr>
        <w:jc w:val="both"/>
        <w:rPr>
          <w:b/>
          <w:bCs/>
          <w:sz w:val="28"/>
          <w:szCs w:val="28"/>
        </w:rPr>
      </w:pPr>
      <w:r w:rsidRPr="00966CDB">
        <w:rPr>
          <w:b/>
          <w:bCs/>
          <w:sz w:val="28"/>
          <w:szCs w:val="28"/>
        </w:rPr>
        <w:t>Hankkeen osallistujat</w:t>
      </w:r>
    </w:p>
    <w:p w:rsidR="00A0231A" w:rsidRDefault="00A0231A" w:rsidP="00C33573">
      <w:pPr>
        <w:jc w:val="both"/>
        <w:rPr>
          <w:sz w:val="24"/>
          <w:szCs w:val="24"/>
        </w:rPr>
      </w:pPr>
      <w:r>
        <w:rPr>
          <w:sz w:val="24"/>
          <w:szCs w:val="24"/>
        </w:rPr>
        <w:t>ESR-hankkeeseen osallistuvalla henkilöllä tarkoitetaan</w:t>
      </w:r>
      <w:r>
        <w:rPr>
          <w:sz w:val="24"/>
          <w:szCs w:val="24"/>
        </w:rPr>
        <w:t xml:space="preserve"> hanketta toteuttavan tutkimuslaitoksen (Tampereen yliopisto) ulkopuolisia henkilöitä, jotka osallistuvat hankkeeseen esimerkiksi tiedontuottajan roolissa. </w:t>
      </w:r>
      <w:r w:rsidRPr="00A0231A">
        <w:rPr>
          <w:i/>
          <w:iCs/>
          <w:sz w:val="24"/>
          <w:szCs w:val="24"/>
        </w:rPr>
        <w:t xml:space="preserve">Poikkeustila ja </w:t>
      </w:r>
      <w:proofErr w:type="spellStart"/>
      <w:r w:rsidRPr="00A0231A">
        <w:rPr>
          <w:i/>
          <w:iCs/>
          <w:sz w:val="24"/>
          <w:szCs w:val="24"/>
        </w:rPr>
        <w:t>resilienssi</w:t>
      </w:r>
      <w:proofErr w:type="spellEnd"/>
      <w:r w:rsidRPr="00A0231A">
        <w:rPr>
          <w:i/>
          <w:iCs/>
          <w:sz w:val="24"/>
          <w:szCs w:val="24"/>
        </w:rPr>
        <w:t xml:space="preserve"> tapahtumatalouden organisaatioissa </w:t>
      </w:r>
      <w:r>
        <w:rPr>
          <w:sz w:val="24"/>
          <w:szCs w:val="24"/>
        </w:rPr>
        <w:t>-hankkeessa tällaisia henkilöitä ovat haastatteluihin sekä työpajoihin osallistuneet henkilöt.</w:t>
      </w:r>
    </w:p>
    <w:p w:rsidR="00A0231A" w:rsidRDefault="00A0231A" w:rsidP="00C33573">
      <w:pPr>
        <w:jc w:val="both"/>
        <w:rPr>
          <w:sz w:val="24"/>
          <w:szCs w:val="24"/>
        </w:rPr>
      </w:pPr>
      <w:r>
        <w:rPr>
          <w:sz w:val="24"/>
          <w:szCs w:val="24"/>
        </w:rPr>
        <w:t>Henkilötiedot saadaan osallistujilta.</w:t>
      </w:r>
    </w:p>
    <w:p w:rsidR="00A0231A" w:rsidRDefault="00A0231A" w:rsidP="00C33573">
      <w:pPr>
        <w:jc w:val="both"/>
        <w:rPr>
          <w:sz w:val="24"/>
          <w:szCs w:val="24"/>
        </w:rPr>
      </w:pPr>
    </w:p>
    <w:p w:rsidR="00A0231A" w:rsidRPr="00966CDB" w:rsidRDefault="00A0231A" w:rsidP="00C33573">
      <w:pPr>
        <w:jc w:val="both"/>
        <w:rPr>
          <w:b/>
          <w:bCs/>
          <w:sz w:val="28"/>
          <w:szCs w:val="28"/>
        </w:rPr>
      </w:pPr>
      <w:r w:rsidRPr="00966CDB">
        <w:rPr>
          <w:b/>
          <w:bCs/>
          <w:sz w:val="28"/>
          <w:szCs w:val="28"/>
        </w:rPr>
        <w:t>Henkilötietojen vastaanottajat</w:t>
      </w:r>
    </w:p>
    <w:p w:rsidR="00A0231A" w:rsidRDefault="00DD2159" w:rsidP="00C33573">
      <w:pPr>
        <w:jc w:val="both"/>
        <w:rPr>
          <w:sz w:val="24"/>
          <w:szCs w:val="24"/>
        </w:rPr>
      </w:pPr>
      <w:r>
        <w:rPr>
          <w:sz w:val="24"/>
          <w:szCs w:val="24"/>
        </w:rPr>
        <w:t>Tiedot syötetään hankkeen toteuttajien (Arja Haapakorpi, Emmi Siirtola) toimesta ESR Henkilö -järjestelmään, jonka omistaa työ- ja elinkeinoministeriö. Työ- ja elinkeinoministeriöllä on nimettyjen henkilöiden osalta oikeus tarkastella tietoja lakien ja asetusten asettamissa rajoissa.</w:t>
      </w:r>
    </w:p>
    <w:p w:rsidR="00DD2159" w:rsidRDefault="00DD2159" w:rsidP="00C33573">
      <w:pPr>
        <w:jc w:val="both"/>
        <w:rPr>
          <w:sz w:val="24"/>
          <w:szCs w:val="24"/>
        </w:rPr>
      </w:pPr>
      <w:r w:rsidRPr="00DD2159">
        <w:rPr>
          <w:sz w:val="24"/>
          <w:szCs w:val="24"/>
        </w:rPr>
        <w:t>Hanketta rahoittavalla viranomaisella ei ole oikeutta vaatia hanketoteuttajaa luovuttamaan osallistujatason tietoja. Rahoittavalla viranomaisella on oikeus kuitenkin varmentaa alkuperäisten lomakkeiden olemassaolo ja sisältö, joihin rekisteriin tallennetut tiedot perustuvat. Hankkeelle rahoituksen myöntäneen viranomaisen tarkastajalla on oikeus pyytää hanketoteuttajaa vain näyttämään, mutta ei luovuttamaan tulostetta tai kuvaa, suoraan ESR Henkilö -järjestelmästä toimenpiteen osallistujien tiedot jäljitysketjun todentamiseksi. Sama koskee myös muita hanketta tarkastavia kansallisia ja EU:n viranomaisia.</w:t>
      </w:r>
    </w:p>
    <w:p w:rsidR="00DD2159" w:rsidRDefault="00DD2159" w:rsidP="00C33573">
      <w:pPr>
        <w:jc w:val="both"/>
        <w:rPr>
          <w:sz w:val="24"/>
          <w:szCs w:val="24"/>
        </w:rPr>
      </w:pPr>
    </w:p>
    <w:p w:rsidR="00DD2159" w:rsidRPr="00966CDB" w:rsidRDefault="00DD2159" w:rsidP="00C33573">
      <w:pPr>
        <w:jc w:val="both"/>
        <w:rPr>
          <w:b/>
          <w:bCs/>
          <w:sz w:val="28"/>
          <w:szCs w:val="28"/>
        </w:rPr>
      </w:pPr>
      <w:r w:rsidRPr="00966CDB">
        <w:rPr>
          <w:b/>
          <w:bCs/>
          <w:sz w:val="28"/>
          <w:szCs w:val="28"/>
        </w:rPr>
        <w:t>Rekisterin suojauksen periaatteet</w:t>
      </w:r>
    </w:p>
    <w:p w:rsidR="00DD2159" w:rsidRPr="00DD2159" w:rsidRDefault="00DD2159" w:rsidP="00C33573">
      <w:pPr>
        <w:jc w:val="both"/>
        <w:rPr>
          <w:b/>
          <w:bCs/>
          <w:sz w:val="24"/>
          <w:szCs w:val="24"/>
        </w:rPr>
      </w:pPr>
      <w:r w:rsidRPr="00DD2159">
        <w:rPr>
          <w:b/>
          <w:bCs/>
          <w:sz w:val="24"/>
          <w:szCs w:val="24"/>
        </w:rPr>
        <w:t>Manuaalinen aineisto</w:t>
      </w:r>
    </w:p>
    <w:p w:rsidR="00DD2159" w:rsidRDefault="00DD2159" w:rsidP="00C33573">
      <w:pPr>
        <w:jc w:val="both"/>
        <w:rPr>
          <w:sz w:val="24"/>
          <w:szCs w:val="24"/>
        </w:rPr>
      </w:pPr>
      <w:r>
        <w:rPr>
          <w:sz w:val="24"/>
          <w:szCs w:val="24"/>
        </w:rPr>
        <w:lastRenderedPageBreak/>
        <w:t>Henkilötiedot kerätään paperilomakkeilla. Koronapandemian vuoksi paperilomakkeet toimitetaan postilla. Täytettyjä paperilomakkeita säilytetään kassakaapissa ja hävitetään lukitussa paperinkeräysastiassa.</w:t>
      </w:r>
    </w:p>
    <w:p w:rsidR="00DD2159" w:rsidRDefault="00DD2159" w:rsidP="00C33573">
      <w:pPr>
        <w:jc w:val="both"/>
        <w:rPr>
          <w:sz w:val="24"/>
          <w:szCs w:val="24"/>
        </w:rPr>
      </w:pPr>
      <w:r>
        <w:rPr>
          <w:sz w:val="24"/>
          <w:szCs w:val="24"/>
        </w:rPr>
        <w:t>Lomakkeita ei saa kopioida eikä tallentaa sähköisessä muodossa.</w:t>
      </w:r>
    </w:p>
    <w:p w:rsidR="00966CDB" w:rsidRPr="00966CDB" w:rsidRDefault="00966CDB" w:rsidP="00C33573">
      <w:pPr>
        <w:jc w:val="both"/>
        <w:rPr>
          <w:b/>
          <w:bCs/>
          <w:sz w:val="24"/>
          <w:szCs w:val="24"/>
        </w:rPr>
      </w:pPr>
      <w:r w:rsidRPr="00966CDB">
        <w:rPr>
          <w:b/>
          <w:bCs/>
          <w:sz w:val="24"/>
          <w:szCs w:val="24"/>
        </w:rPr>
        <w:t>Sähköinen aineisto</w:t>
      </w:r>
    </w:p>
    <w:p w:rsidR="00966CDB" w:rsidRDefault="00966CDB" w:rsidP="00C33573">
      <w:pPr>
        <w:jc w:val="both"/>
        <w:rPr>
          <w:sz w:val="24"/>
          <w:szCs w:val="24"/>
        </w:rPr>
      </w:pPr>
      <w:r>
        <w:rPr>
          <w:sz w:val="24"/>
          <w:szCs w:val="24"/>
        </w:rPr>
        <w:t xml:space="preserve">Tiedot tallennetaan ESR Henkilö -tietojärjestelmään. Järjestelmään kirjaudutaan henkilökohtaisen Katso-tunnistautumispalvelun kautta. Kutakin hanketta suojaa salasana, joka on tiedossa vain projektin henkilöillä (Arja Haapakorpi, Emmi Siirtola) sekä taloushallinnon henkilöllä. </w:t>
      </w:r>
    </w:p>
    <w:p w:rsidR="00966CDB" w:rsidRDefault="00966CDB" w:rsidP="00C33573">
      <w:pPr>
        <w:jc w:val="both"/>
        <w:rPr>
          <w:sz w:val="24"/>
          <w:szCs w:val="24"/>
        </w:rPr>
      </w:pPr>
    </w:p>
    <w:p w:rsidR="00966CDB" w:rsidRPr="00966CDB" w:rsidRDefault="00966CDB" w:rsidP="00966CDB">
      <w:pPr>
        <w:jc w:val="both"/>
        <w:rPr>
          <w:b/>
          <w:bCs/>
          <w:sz w:val="28"/>
          <w:szCs w:val="28"/>
        </w:rPr>
      </w:pPr>
      <w:r w:rsidRPr="00966CDB">
        <w:rPr>
          <w:b/>
          <w:bCs/>
          <w:sz w:val="28"/>
          <w:szCs w:val="28"/>
        </w:rPr>
        <w:t>Automaattinen päätöksenteko</w:t>
      </w:r>
    </w:p>
    <w:p w:rsidR="00966CDB" w:rsidRDefault="00966CDB" w:rsidP="00966CDB">
      <w:pPr>
        <w:jc w:val="both"/>
        <w:rPr>
          <w:sz w:val="24"/>
          <w:szCs w:val="24"/>
        </w:rPr>
      </w:pPr>
      <w:r w:rsidRPr="00966CDB">
        <w:rPr>
          <w:sz w:val="24"/>
          <w:szCs w:val="24"/>
        </w:rPr>
        <w:t>Rekisterissä ei tehdä automaattista päätöksentekoa.</w:t>
      </w:r>
    </w:p>
    <w:p w:rsidR="00966CDB" w:rsidRPr="00966CDB" w:rsidRDefault="00966CDB" w:rsidP="00966CDB">
      <w:pPr>
        <w:jc w:val="both"/>
        <w:rPr>
          <w:sz w:val="24"/>
          <w:szCs w:val="24"/>
        </w:rPr>
      </w:pPr>
    </w:p>
    <w:p w:rsidR="00966CDB" w:rsidRPr="00966CDB" w:rsidRDefault="00966CDB" w:rsidP="00966CDB">
      <w:pPr>
        <w:jc w:val="both"/>
        <w:rPr>
          <w:b/>
          <w:bCs/>
          <w:sz w:val="28"/>
          <w:szCs w:val="28"/>
        </w:rPr>
      </w:pPr>
      <w:r w:rsidRPr="00966CDB">
        <w:rPr>
          <w:b/>
          <w:bCs/>
          <w:sz w:val="28"/>
          <w:szCs w:val="28"/>
        </w:rPr>
        <w:t>Tietojen siirto EU:n tai ETA:n ulkopuolelle</w:t>
      </w:r>
    </w:p>
    <w:p w:rsidR="00966CDB" w:rsidRDefault="00966CDB" w:rsidP="00966CDB">
      <w:pPr>
        <w:jc w:val="both"/>
        <w:rPr>
          <w:sz w:val="24"/>
          <w:szCs w:val="24"/>
        </w:rPr>
      </w:pPr>
      <w:r w:rsidRPr="00966CDB">
        <w:rPr>
          <w:sz w:val="24"/>
          <w:szCs w:val="24"/>
        </w:rPr>
        <w:t>Tietoja ei siirretä EU:n tai ETA:n ulkopuolelle.</w:t>
      </w:r>
    </w:p>
    <w:p w:rsidR="00966CDB" w:rsidRDefault="00966CDB" w:rsidP="00966CDB">
      <w:pPr>
        <w:jc w:val="both"/>
        <w:rPr>
          <w:sz w:val="24"/>
          <w:szCs w:val="24"/>
        </w:rPr>
      </w:pPr>
    </w:p>
    <w:p w:rsidR="00966CDB" w:rsidRPr="00966CDB" w:rsidRDefault="00966CDB" w:rsidP="00966CDB">
      <w:pPr>
        <w:jc w:val="both"/>
        <w:rPr>
          <w:b/>
          <w:bCs/>
          <w:sz w:val="28"/>
          <w:szCs w:val="28"/>
        </w:rPr>
      </w:pPr>
      <w:r w:rsidRPr="00966CDB">
        <w:rPr>
          <w:b/>
          <w:bCs/>
          <w:sz w:val="28"/>
          <w:szCs w:val="28"/>
        </w:rPr>
        <w:t>Rekisteröidyn oikeudet</w:t>
      </w:r>
    </w:p>
    <w:p w:rsidR="00966CDB" w:rsidRPr="00966CDB" w:rsidRDefault="00966CDB" w:rsidP="00966CDB">
      <w:pPr>
        <w:jc w:val="both"/>
        <w:rPr>
          <w:sz w:val="24"/>
          <w:szCs w:val="24"/>
        </w:rPr>
      </w:pPr>
      <w:r w:rsidRPr="00966CDB">
        <w:rPr>
          <w:sz w:val="24"/>
          <w:szCs w:val="24"/>
        </w:rPr>
        <w:t>EU:n yleinen tietosuoja-asetus (2016/679) antaa rekisteröidylle seuraavat oikeudet:</w:t>
      </w:r>
    </w:p>
    <w:p w:rsidR="00966CDB" w:rsidRPr="00966CDB" w:rsidRDefault="00966CDB" w:rsidP="00966CDB">
      <w:pPr>
        <w:jc w:val="both"/>
        <w:rPr>
          <w:b/>
          <w:bCs/>
          <w:sz w:val="24"/>
          <w:szCs w:val="24"/>
        </w:rPr>
      </w:pPr>
      <w:r w:rsidRPr="00966CDB">
        <w:rPr>
          <w:b/>
          <w:bCs/>
          <w:sz w:val="24"/>
          <w:szCs w:val="24"/>
        </w:rPr>
        <w:t>Oikeus peruuttaa suostumuksen</w:t>
      </w:r>
    </w:p>
    <w:p w:rsidR="00966CDB" w:rsidRPr="00966CDB" w:rsidRDefault="00966CDB" w:rsidP="00966CDB">
      <w:pPr>
        <w:jc w:val="both"/>
        <w:rPr>
          <w:sz w:val="24"/>
          <w:szCs w:val="24"/>
        </w:rPr>
      </w:pPr>
      <w:r w:rsidRPr="00966CDB">
        <w:rPr>
          <w:sz w:val="24"/>
          <w:szCs w:val="24"/>
        </w:rPr>
        <w:t>Rekisteröidyllä on milloin tahansa oikeus peruuttaa suostumuksensa. (artikla 7)</w:t>
      </w:r>
    </w:p>
    <w:p w:rsidR="00966CDB" w:rsidRPr="00966CDB" w:rsidRDefault="00966CDB" w:rsidP="00966CDB">
      <w:pPr>
        <w:jc w:val="both"/>
        <w:rPr>
          <w:b/>
          <w:bCs/>
          <w:sz w:val="24"/>
          <w:szCs w:val="24"/>
        </w:rPr>
      </w:pPr>
      <w:r w:rsidRPr="00966CDB">
        <w:rPr>
          <w:b/>
          <w:bCs/>
          <w:sz w:val="24"/>
          <w:szCs w:val="24"/>
        </w:rPr>
        <w:t>Oikeus saada pääsy tietoihinsa</w:t>
      </w:r>
    </w:p>
    <w:p w:rsidR="00966CDB" w:rsidRPr="00966CDB" w:rsidRDefault="00966CDB" w:rsidP="00966CDB">
      <w:pPr>
        <w:jc w:val="both"/>
        <w:rPr>
          <w:sz w:val="24"/>
          <w:szCs w:val="24"/>
        </w:rPr>
      </w:pPr>
      <w:r w:rsidRPr="00966CDB">
        <w:rPr>
          <w:sz w:val="24"/>
          <w:szCs w:val="24"/>
        </w:rPr>
        <w:t>Rekisteröidyllä on oikeus saada rekisterinpitäjältä vahvistus siitä, käsitelläänkö häntä koskevia henkilötietoja. Rekisteröidyllä on oikeus saada pääsy tietoihinsa. Tarkastusoikeudesta voidaan periä maksu tai siitä voidaan kieltäytyä, jos pyynnöt ovat ilmeisen perusteettomia tai kohtuuttomia, erityisesti jos niitä esitetään toistuvasti. (artikla 12 ja artikla 15)</w:t>
      </w:r>
    </w:p>
    <w:p w:rsidR="00966CDB" w:rsidRPr="00966CDB" w:rsidRDefault="00966CDB" w:rsidP="00966CDB">
      <w:pPr>
        <w:jc w:val="both"/>
        <w:rPr>
          <w:b/>
          <w:bCs/>
          <w:sz w:val="24"/>
          <w:szCs w:val="24"/>
        </w:rPr>
      </w:pPr>
      <w:r w:rsidRPr="00966CDB">
        <w:rPr>
          <w:b/>
          <w:bCs/>
          <w:sz w:val="24"/>
          <w:szCs w:val="24"/>
        </w:rPr>
        <w:t>Oikeus tietojen oikaisemiseen</w:t>
      </w:r>
    </w:p>
    <w:p w:rsidR="00966CDB" w:rsidRPr="00966CDB" w:rsidRDefault="00966CDB" w:rsidP="00966CDB">
      <w:pPr>
        <w:jc w:val="both"/>
        <w:rPr>
          <w:sz w:val="24"/>
          <w:szCs w:val="24"/>
        </w:rPr>
      </w:pPr>
      <w:r w:rsidRPr="00966CDB">
        <w:rPr>
          <w:sz w:val="24"/>
          <w:szCs w:val="24"/>
        </w:rPr>
        <w:t>Rekisteröidyllä on oikeus vaatia rekisterissä olevan virheellisen tiedon oikaisemista (artikla 16). Korjaamispyyntö tehdään kirjallisesti. Joissain tietojärjestelmissä henkilö pystyy myös itse korjaamaan omat tietonsa.</w:t>
      </w:r>
    </w:p>
    <w:p w:rsidR="00966CDB" w:rsidRPr="00966CDB" w:rsidRDefault="00966CDB" w:rsidP="00966CDB">
      <w:pPr>
        <w:jc w:val="both"/>
        <w:rPr>
          <w:b/>
          <w:bCs/>
          <w:sz w:val="24"/>
          <w:szCs w:val="24"/>
        </w:rPr>
      </w:pPr>
      <w:r w:rsidRPr="00966CDB">
        <w:rPr>
          <w:b/>
          <w:bCs/>
          <w:sz w:val="24"/>
          <w:szCs w:val="24"/>
        </w:rPr>
        <w:t>Oikeus tietojen poistamiseen</w:t>
      </w:r>
    </w:p>
    <w:p w:rsidR="00966CDB" w:rsidRPr="00966CDB" w:rsidRDefault="00966CDB" w:rsidP="00966CDB">
      <w:pPr>
        <w:jc w:val="both"/>
        <w:rPr>
          <w:sz w:val="24"/>
          <w:szCs w:val="24"/>
        </w:rPr>
      </w:pPr>
      <w:r w:rsidRPr="00966CDB">
        <w:rPr>
          <w:sz w:val="24"/>
          <w:szCs w:val="24"/>
        </w:rPr>
        <w:t>Rekisteröidyllä on oikeus vaatia henkilötietojensa poistamista, jos yksi seuraavista toteutuu (artikla 17):</w:t>
      </w:r>
    </w:p>
    <w:p w:rsidR="00966CDB" w:rsidRPr="00966CDB" w:rsidRDefault="00966CDB" w:rsidP="00966CDB">
      <w:pPr>
        <w:jc w:val="both"/>
        <w:rPr>
          <w:sz w:val="24"/>
          <w:szCs w:val="24"/>
        </w:rPr>
      </w:pPr>
    </w:p>
    <w:p w:rsidR="00966CDB" w:rsidRDefault="00966CDB" w:rsidP="00966CDB">
      <w:pPr>
        <w:pStyle w:val="ListParagraph"/>
        <w:numPr>
          <w:ilvl w:val="0"/>
          <w:numId w:val="1"/>
        </w:numPr>
        <w:jc w:val="both"/>
        <w:rPr>
          <w:sz w:val="24"/>
          <w:szCs w:val="24"/>
        </w:rPr>
      </w:pPr>
      <w:r w:rsidRPr="00966CDB">
        <w:rPr>
          <w:sz w:val="24"/>
          <w:szCs w:val="24"/>
        </w:rPr>
        <w:lastRenderedPageBreak/>
        <w:t>Henkilötietoja ei enää tarvita niihin tarkoituksiin, joita varten ne kerättiin tai joita varten niitä muutoin käsiteltiin.</w:t>
      </w:r>
    </w:p>
    <w:p w:rsidR="00966CDB" w:rsidRDefault="00966CDB" w:rsidP="00966CDB">
      <w:pPr>
        <w:pStyle w:val="ListParagraph"/>
        <w:numPr>
          <w:ilvl w:val="0"/>
          <w:numId w:val="1"/>
        </w:numPr>
        <w:jc w:val="both"/>
        <w:rPr>
          <w:sz w:val="24"/>
          <w:szCs w:val="24"/>
        </w:rPr>
      </w:pPr>
      <w:r w:rsidRPr="00966CDB">
        <w:rPr>
          <w:sz w:val="24"/>
          <w:szCs w:val="24"/>
        </w:rPr>
        <w:t>Rekisteröity peruuttaa suostumuksen, eikä käsittelyyn ole muuta laillista perustetta.</w:t>
      </w:r>
    </w:p>
    <w:p w:rsidR="00966CDB" w:rsidRDefault="00966CDB" w:rsidP="00966CDB">
      <w:pPr>
        <w:pStyle w:val="ListParagraph"/>
        <w:numPr>
          <w:ilvl w:val="0"/>
          <w:numId w:val="1"/>
        </w:numPr>
        <w:jc w:val="both"/>
        <w:rPr>
          <w:sz w:val="24"/>
          <w:szCs w:val="24"/>
        </w:rPr>
      </w:pPr>
      <w:r w:rsidRPr="00966CDB">
        <w:rPr>
          <w:sz w:val="24"/>
          <w:szCs w:val="24"/>
        </w:rPr>
        <w:t>Rekisteröity vastustaa käsittelyä eikä käsittelyyn ole olemassa perusteltua syytä (artikla 21).</w:t>
      </w:r>
    </w:p>
    <w:p w:rsidR="00966CDB" w:rsidRDefault="00966CDB" w:rsidP="00966CDB">
      <w:pPr>
        <w:pStyle w:val="ListParagraph"/>
        <w:numPr>
          <w:ilvl w:val="0"/>
          <w:numId w:val="1"/>
        </w:numPr>
        <w:jc w:val="both"/>
        <w:rPr>
          <w:sz w:val="24"/>
          <w:szCs w:val="24"/>
        </w:rPr>
      </w:pPr>
      <w:r w:rsidRPr="00966CDB">
        <w:rPr>
          <w:sz w:val="24"/>
          <w:szCs w:val="24"/>
        </w:rPr>
        <w:t>Henkilötietoja on käsitelty lainvastaisesti.</w:t>
      </w:r>
    </w:p>
    <w:p w:rsidR="00966CDB" w:rsidRPr="00966CDB" w:rsidRDefault="00966CDB" w:rsidP="00966CDB">
      <w:pPr>
        <w:pStyle w:val="ListParagraph"/>
        <w:numPr>
          <w:ilvl w:val="0"/>
          <w:numId w:val="1"/>
        </w:numPr>
        <w:jc w:val="both"/>
        <w:rPr>
          <w:sz w:val="24"/>
          <w:szCs w:val="24"/>
        </w:rPr>
      </w:pPr>
      <w:r w:rsidRPr="00966CDB">
        <w:rPr>
          <w:sz w:val="24"/>
          <w:szCs w:val="24"/>
        </w:rPr>
        <w:t>Henkilötiedot on poistettava unionin oikeuteen tai jäsenvaltion lainsäädäntöön perustuvan rekisterinpitäjään sovellettavan lakisääteisen velvoitteen noudattamiseksi.</w:t>
      </w:r>
    </w:p>
    <w:p w:rsidR="00966CDB" w:rsidRPr="00966CDB" w:rsidRDefault="00966CDB" w:rsidP="00966CDB">
      <w:pPr>
        <w:jc w:val="both"/>
        <w:rPr>
          <w:b/>
          <w:bCs/>
          <w:sz w:val="24"/>
          <w:szCs w:val="24"/>
        </w:rPr>
      </w:pPr>
      <w:r w:rsidRPr="00966CDB">
        <w:rPr>
          <w:b/>
          <w:bCs/>
          <w:sz w:val="24"/>
          <w:szCs w:val="24"/>
        </w:rPr>
        <w:t>Oikeus käsittelyn rajoittamiseen</w:t>
      </w:r>
    </w:p>
    <w:p w:rsidR="00966CDB" w:rsidRPr="00966CDB" w:rsidRDefault="00966CDB" w:rsidP="00966CDB">
      <w:pPr>
        <w:jc w:val="both"/>
        <w:rPr>
          <w:sz w:val="24"/>
          <w:szCs w:val="24"/>
        </w:rPr>
      </w:pPr>
      <w:r>
        <w:rPr>
          <w:sz w:val="24"/>
          <w:szCs w:val="24"/>
        </w:rPr>
        <w:t>R</w:t>
      </w:r>
      <w:r w:rsidRPr="00966CDB">
        <w:rPr>
          <w:sz w:val="24"/>
          <w:szCs w:val="24"/>
        </w:rPr>
        <w:t>ekisteröidyllä on oikeus käsittelyn rajoittamiseen, jos yksi seuraavista toteutuu (artikla 18):</w:t>
      </w:r>
    </w:p>
    <w:p w:rsidR="00966CDB" w:rsidRDefault="00966CDB" w:rsidP="00966CDB">
      <w:pPr>
        <w:pStyle w:val="ListParagraph"/>
        <w:numPr>
          <w:ilvl w:val="0"/>
          <w:numId w:val="1"/>
        </w:numPr>
        <w:jc w:val="both"/>
        <w:rPr>
          <w:sz w:val="24"/>
          <w:szCs w:val="24"/>
        </w:rPr>
      </w:pPr>
      <w:r w:rsidRPr="00966CDB">
        <w:rPr>
          <w:sz w:val="24"/>
          <w:szCs w:val="24"/>
        </w:rPr>
        <w:t>Rekisteröity kiistää henkilötietojen paikkansapitävyyden, jolloin käsittelyä rajoitetaan ajaksi, jonka kuluessa rekisterinpitäjä voi varmistaa niiden paikkansapitävyyden.</w:t>
      </w:r>
    </w:p>
    <w:p w:rsidR="00966CDB" w:rsidRDefault="00966CDB" w:rsidP="00966CDB">
      <w:pPr>
        <w:pStyle w:val="ListParagraph"/>
        <w:numPr>
          <w:ilvl w:val="0"/>
          <w:numId w:val="1"/>
        </w:numPr>
        <w:jc w:val="both"/>
        <w:rPr>
          <w:sz w:val="24"/>
          <w:szCs w:val="24"/>
        </w:rPr>
      </w:pPr>
      <w:r w:rsidRPr="00966CDB">
        <w:rPr>
          <w:sz w:val="24"/>
          <w:szCs w:val="24"/>
        </w:rPr>
        <w:t>Käsittely on lainvastaista ja rekisteröity vastustaa henkilötietojen poistamista ja vaatii sen sijaan niiden käytön rajoittamista.</w:t>
      </w:r>
    </w:p>
    <w:p w:rsidR="00966CDB" w:rsidRDefault="00966CDB" w:rsidP="00966CDB">
      <w:pPr>
        <w:pStyle w:val="ListParagraph"/>
        <w:numPr>
          <w:ilvl w:val="0"/>
          <w:numId w:val="1"/>
        </w:numPr>
        <w:jc w:val="both"/>
        <w:rPr>
          <w:sz w:val="24"/>
          <w:szCs w:val="24"/>
        </w:rPr>
      </w:pPr>
      <w:r w:rsidRPr="00966CDB">
        <w:rPr>
          <w:sz w:val="24"/>
          <w:szCs w:val="24"/>
        </w:rPr>
        <w:t>Rekisterinpitäjä ei enää tarvitse kyseisiä henkilötietoja käsittelyn tarkoituksiin, mutta rekisteröity tarvitsee niitä oikeudellisen vaateen laatimiseksi, esittämiseksi tai puolustamiseksi.</w:t>
      </w:r>
    </w:p>
    <w:p w:rsidR="00966CDB" w:rsidRPr="00966CDB" w:rsidRDefault="00966CDB" w:rsidP="00966CDB">
      <w:pPr>
        <w:pStyle w:val="ListParagraph"/>
        <w:numPr>
          <w:ilvl w:val="0"/>
          <w:numId w:val="1"/>
        </w:numPr>
        <w:jc w:val="both"/>
        <w:rPr>
          <w:sz w:val="24"/>
          <w:szCs w:val="24"/>
        </w:rPr>
      </w:pPr>
      <w:r w:rsidRPr="00966CDB">
        <w:rPr>
          <w:sz w:val="24"/>
          <w:szCs w:val="24"/>
        </w:rPr>
        <w:t>Rekisteröity on vastustanut henkilötietojen käsittelyä artikla 21 kohdan nojalla odotettaessa sen todentamista, syrjäyttävätkö rekisterinpitäjän oikeutetut perusteet rekisteröidyn perusteet.</w:t>
      </w:r>
    </w:p>
    <w:p w:rsidR="00966CDB" w:rsidRPr="00966CDB" w:rsidRDefault="00966CDB" w:rsidP="00966CDB">
      <w:pPr>
        <w:jc w:val="both"/>
        <w:rPr>
          <w:b/>
          <w:bCs/>
          <w:sz w:val="24"/>
          <w:szCs w:val="24"/>
        </w:rPr>
      </w:pPr>
      <w:r w:rsidRPr="00966CDB">
        <w:rPr>
          <w:b/>
          <w:bCs/>
          <w:sz w:val="24"/>
          <w:szCs w:val="24"/>
        </w:rPr>
        <w:t>Oikeus siirtää tiedot järjestelmästä toiseen</w:t>
      </w:r>
    </w:p>
    <w:p w:rsidR="00966CDB" w:rsidRDefault="00966CDB" w:rsidP="00966CDB">
      <w:pPr>
        <w:jc w:val="both"/>
        <w:rPr>
          <w:sz w:val="24"/>
          <w:szCs w:val="24"/>
        </w:rPr>
      </w:pPr>
      <w:r w:rsidRPr="00966CDB">
        <w:rPr>
          <w:sz w:val="24"/>
          <w:szCs w:val="24"/>
        </w:rPr>
        <w:t>Rekisteröidyllä on oikeus saada koneluettavassa muodossa häntä koskevat henkilötiedot, jotka hän on rekisterinpitäjälle toimittanut, mikäli käsittely perustuu suostumukseen ja käsittely tapahtuu automaattisesti. (artikla 20)</w:t>
      </w:r>
    </w:p>
    <w:p w:rsidR="000F0C1A" w:rsidRDefault="000F0C1A" w:rsidP="00966CDB">
      <w:pPr>
        <w:jc w:val="both"/>
        <w:rPr>
          <w:sz w:val="24"/>
          <w:szCs w:val="24"/>
        </w:rPr>
      </w:pPr>
    </w:p>
    <w:p w:rsidR="00966CDB" w:rsidRPr="00966CDB" w:rsidRDefault="000F0C1A" w:rsidP="00966CDB">
      <w:pPr>
        <w:jc w:val="both"/>
        <w:rPr>
          <w:b/>
          <w:bCs/>
          <w:sz w:val="24"/>
          <w:szCs w:val="24"/>
        </w:rPr>
      </w:pPr>
      <w:r>
        <w:rPr>
          <w:b/>
          <w:bCs/>
          <w:sz w:val="24"/>
          <w:szCs w:val="24"/>
        </w:rPr>
        <w:t>Tampereen yliopiston</w:t>
      </w:r>
      <w:r w:rsidR="00966CDB" w:rsidRPr="00966CDB">
        <w:rPr>
          <w:b/>
          <w:bCs/>
          <w:sz w:val="24"/>
          <w:szCs w:val="24"/>
        </w:rPr>
        <w:t xml:space="preserve"> tietosuojavastaavan tiedot:</w:t>
      </w:r>
    </w:p>
    <w:p w:rsidR="00966CDB" w:rsidRPr="00AC0403" w:rsidRDefault="000F0C1A" w:rsidP="00966CDB">
      <w:pPr>
        <w:jc w:val="both"/>
        <w:rPr>
          <w:color w:val="000000" w:themeColor="text1"/>
          <w:sz w:val="24"/>
          <w:szCs w:val="24"/>
        </w:rPr>
      </w:pPr>
      <w:r w:rsidRPr="00AC0403">
        <w:rPr>
          <w:color w:val="000000" w:themeColor="text1"/>
          <w:sz w:val="24"/>
          <w:szCs w:val="24"/>
        </w:rPr>
        <w:t>dpo@tuni.fi</w:t>
      </w:r>
    </w:p>
    <w:p w:rsidR="000F0C1A" w:rsidRPr="00966CDB" w:rsidRDefault="000F0C1A" w:rsidP="00966CDB">
      <w:pPr>
        <w:jc w:val="both"/>
        <w:rPr>
          <w:color w:val="FF0000"/>
          <w:sz w:val="24"/>
          <w:szCs w:val="24"/>
        </w:rPr>
      </w:pPr>
    </w:p>
    <w:sectPr w:rsidR="000F0C1A" w:rsidRPr="00966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C6255"/>
    <w:multiLevelType w:val="hybridMultilevel"/>
    <w:tmpl w:val="BA002B1E"/>
    <w:lvl w:ilvl="0" w:tplc="201051A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C5"/>
    <w:rsid w:val="000F0C1A"/>
    <w:rsid w:val="001310B2"/>
    <w:rsid w:val="00246C89"/>
    <w:rsid w:val="0049463D"/>
    <w:rsid w:val="006938FF"/>
    <w:rsid w:val="00733F0B"/>
    <w:rsid w:val="00754E54"/>
    <w:rsid w:val="00966CDB"/>
    <w:rsid w:val="00A0231A"/>
    <w:rsid w:val="00A670C5"/>
    <w:rsid w:val="00AC0403"/>
    <w:rsid w:val="00C33573"/>
    <w:rsid w:val="00DD21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82F5"/>
  <w15:chartTrackingRefBased/>
  <w15:docId w15:val="{FEFF17C3-0D56-4ED5-BA8F-FE4A8AFA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3F0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73"/>
    <w:pPr>
      <w:ind w:left="720"/>
      <w:contextualSpacing/>
    </w:pPr>
  </w:style>
  <w:style w:type="character" w:customStyle="1" w:styleId="Heading3Char">
    <w:name w:val="Heading 3 Char"/>
    <w:basedOn w:val="DefaultParagraphFont"/>
    <w:link w:val="Heading3"/>
    <w:uiPriority w:val="9"/>
    <w:rsid w:val="00733F0B"/>
    <w:rPr>
      <w:rFonts w:ascii="Times New Roman" w:eastAsia="Times New Roman" w:hAnsi="Times New Roman" w:cs="Times New Roman"/>
      <w:b/>
      <w:bCs/>
      <w:sz w:val="27"/>
      <w:szCs w:val="27"/>
      <w:lang w:eastAsia="fi-FI"/>
    </w:rPr>
  </w:style>
  <w:style w:type="character" w:styleId="Strong">
    <w:name w:val="Strong"/>
    <w:basedOn w:val="DefaultParagraphFont"/>
    <w:uiPriority w:val="22"/>
    <w:qFormat/>
    <w:rsid w:val="00733F0B"/>
    <w:rPr>
      <w:b/>
      <w:bCs/>
    </w:rPr>
  </w:style>
  <w:style w:type="paragraph" w:styleId="NormalWeb">
    <w:name w:val="Normal (Web)"/>
    <w:basedOn w:val="Normal"/>
    <w:uiPriority w:val="99"/>
    <w:semiHidden/>
    <w:unhideWhenUsed/>
    <w:rsid w:val="00733F0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0F0C1A"/>
    <w:rPr>
      <w:color w:val="0563C1" w:themeColor="hyperlink"/>
      <w:u w:val="single"/>
    </w:rPr>
  </w:style>
  <w:style w:type="character" w:styleId="UnresolvedMention">
    <w:name w:val="Unresolved Mention"/>
    <w:basedOn w:val="DefaultParagraphFont"/>
    <w:uiPriority w:val="99"/>
    <w:semiHidden/>
    <w:unhideWhenUsed/>
    <w:rsid w:val="000F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0867">
      <w:bodyDiv w:val="1"/>
      <w:marLeft w:val="0"/>
      <w:marRight w:val="0"/>
      <w:marTop w:val="0"/>
      <w:marBottom w:val="0"/>
      <w:divBdr>
        <w:top w:val="none" w:sz="0" w:space="0" w:color="auto"/>
        <w:left w:val="none" w:sz="0" w:space="0" w:color="auto"/>
        <w:bottom w:val="none" w:sz="0" w:space="0" w:color="auto"/>
        <w:right w:val="none" w:sz="0" w:space="0" w:color="auto"/>
      </w:divBdr>
    </w:div>
    <w:div w:id="14068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Siirtola (TAU)</dc:creator>
  <cp:keywords/>
  <dc:description/>
  <cp:lastModifiedBy>Emmi Siirtola (TAU)</cp:lastModifiedBy>
  <cp:revision>5</cp:revision>
  <dcterms:created xsi:type="dcterms:W3CDTF">2021-06-14T05:39:00Z</dcterms:created>
  <dcterms:modified xsi:type="dcterms:W3CDTF">2021-06-14T08:31:00Z</dcterms:modified>
</cp:coreProperties>
</file>