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11" w:type="dxa"/>
        <w:tblLook w:val="04A0" w:firstRow="1" w:lastRow="0" w:firstColumn="1" w:lastColumn="0" w:noHBand="0" w:noVBand="1"/>
      </w:tblPr>
      <w:tblGrid>
        <w:gridCol w:w="2362"/>
        <w:gridCol w:w="7749"/>
      </w:tblGrid>
      <w:tr w:rsidR="0046167A" w:rsidRPr="00EB1616" w14:paraId="26DA7E04" w14:textId="77777777" w:rsidTr="395A8046">
        <w:trPr>
          <w:trHeight w:val="300"/>
        </w:trPr>
        <w:tc>
          <w:tcPr>
            <w:tcW w:w="2446" w:type="dxa"/>
            <w:vMerge w:val="restart"/>
            <w:tcBorders>
              <w:right w:val="single" w:sz="4" w:space="0" w:color="auto"/>
            </w:tcBorders>
          </w:tcPr>
          <w:p w14:paraId="1EFDEA14" w14:textId="77777777" w:rsidR="0046167A" w:rsidRPr="00EB1616" w:rsidRDefault="0046167A" w:rsidP="00EB1616">
            <w:pPr>
              <w:rPr>
                <w:b/>
                <w:sz w:val="20"/>
              </w:rPr>
            </w:pPr>
            <w:r w:rsidRPr="00EB1616">
              <w:rPr>
                <w:b/>
                <w:sz w:val="20"/>
              </w:rPr>
              <w:t>1</w:t>
            </w:r>
            <w:r w:rsidRPr="00EB1616">
              <w:rPr>
                <w:b/>
                <w:sz w:val="20"/>
              </w:rPr>
              <w:br/>
              <w:t>Rekisterinpitäjä</w:t>
            </w:r>
          </w:p>
        </w:tc>
        <w:tc>
          <w:tcPr>
            <w:tcW w:w="7665" w:type="dxa"/>
            <w:tcBorders>
              <w:top w:val="single" w:sz="4" w:space="0" w:color="auto"/>
              <w:left w:val="single" w:sz="4" w:space="0" w:color="auto"/>
              <w:bottom w:val="nil"/>
              <w:right w:val="single" w:sz="4" w:space="0" w:color="auto"/>
            </w:tcBorders>
          </w:tcPr>
          <w:p w14:paraId="0E09BE69" w14:textId="77777777" w:rsidR="0046167A" w:rsidRPr="00D03BEA" w:rsidRDefault="0046167A">
            <w:pPr>
              <w:rPr>
                <w:sz w:val="16"/>
                <w:szCs w:val="16"/>
              </w:rPr>
            </w:pPr>
            <w:r w:rsidRPr="00EB1616">
              <w:rPr>
                <w:sz w:val="16"/>
                <w:szCs w:val="16"/>
              </w:rPr>
              <w:t>Nim</w:t>
            </w:r>
            <w:r>
              <w:rPr>
                <w:sz w:val="16"/>
                <w:szCs w:val="16"/>
              </w:rPr>
              <w:t>i</w:t>
            </w:r>
          </w:p>
        </w:tc>
      </w:tr>
      <w:tr w:rsidR="0046167A" w:rsidRPr="00EB1616" w14:paraId="1BC5D66B" w14:textId="77777777" w:rsidTr="395A8046">
        <w:trPr>
          <w:trHeight w:val="300"/>
        </w:trPr>
        <w:tc>
          <w:tcPr>
            <w:tcW w:w="2446" w:type="dxa"/>
            <w:vMerge/>
          </w:tcPr>
          <w:p w14:paraId="272117F3" w14:textId="77777777" w:rsidR="0046167A" w:rsidRPr="00EB1616" w:rsidRDefault="0046167A" w:rsidP="00EB1616">
            <w:pPr>
              <w:rPr>
                <w:b/>
                <w:sz w:val="20"/>
              </w:rPr>
            </w:pPr>
          </w:p>
        </w:tc>
        <w:tc>
          <w:tcPr>
            <w:tcW w:w="7665" w:type="dxa"/>
            <w:tcBorders>
              <w:top w:val="nil"/>
              <w:left w:val="single" w:sz="4" w:space="0" w:color="auto"/>
              <w:bottom w:val="single" w:sz="4" w:space="0" w:color="auto"/>
              <w:right w:val="single" w:sz="4" w:space="0" w:color="auto"/>
            </w:tcBorders>
          </w:tcPr>
          <w:p w14:paraId="3BA09D78" w14:textId="3F0DDCF9" w:rsidR="0046167A" w:rsidRPr="00456313" w:rsidRDefault="00456313">
            <w:pPr>
              <w:rPr>
                <w:b/>
                <w:bCs/>
                <w:sz w:val="16"/>
                <w:szCs w:val="16"/>
              </w:rPr>
            </w:pPr>
            <w:r w:rsidRPr="00553F04">
              <w:rPr>
                <w:b/>
                <w:bCs/>
                <w:sz w:val="20"/>
              </w:rPr>
              <w:t xml:space="preserve">Tampereen </w:t>
            </w:r>
            <w:r w:rsidR="00C33327">
              <w:rPr>
                <w:b/>
                <w:bCs/>
                <w:sz w:val="20"/>
              </w:rPr>
              <w:t>korkeakoulusäätiö</w:t>
            </w:r>
          </w:p>
        </w:tc>
      </w:tr>
      <w:tr w:rsidR="0046167A" w:rsidRPr="00EB1616" w14:paraId="1F68C613" w14:textId="77777777" w:rsidTr="395A8046">
        <w:trPr>
          <w:trHeight w:val="300"/>
        </w:trPr>
        <w:tc>
          <w:tcPr>
            <w:tcW w:w="2446" w:type="dxa"/>
            <w:vMerge/>
          </w:tcPr>
          <w:p w14:paraId="0FBF87D6" w14:textId="77777777" w:rsidR="0046167A" w:rsidRPr="00EB1616" w:rsidRDefault="0046167A" w:rsidP="00EB1616">
            <w:pPr>
              <w:rPr>
                <w:b/>
                <w:sz w:val="20"/>
              </w:rPr>
            </w:pPr>
          </w:p>
        </w:tc>
        <w:tc>
          <w:tcPr>
            <w:tcW w:w="7665" w:type="dxa"/>
            <w:tcBorders>
              <w:top w:val="single" w:sz="4" w:space="0" w:color="auto"/>
              <w:left w:val="single" w:sz="4" w:space="0" w:color="auto"/>
              <w:bottom w:val="nil"/>
              <w:right w:val="single" w:sz="4" w:space="0" w:color="auto"/>
            </w:tcBorders>
          </w:tcPr>
          <w:p w14:paraId="41CAE2BA" w14:textId="77777777" w:rsidR="0046167A" w:rsidRPr="00EB1616" w:rsidRDefault="0046167A">
            <w:pPr>
              <w:rPr>
                <w:sz w:val="16"/>
                <w:szCs w:val="16"/>
              </w:rPr>
            </w:pPr>
            <w:r>
              <w:rPr>
                <w:sz w:val="16"/>
                <w:szCs w:val="16"/>
              </w:rPr>
              <w:t>Osoite</w:t>
            </w:r>
          </w:p>
        </w:tc>
      </w:tr>
      <w:tr w:rsidR="0046167A" w:rsidRPr="00EB1616" w14:paraId="38DEA08F" w14:textId="77777777" w:rsidTr="395A8046">
        <w:trPr>
          <w:trHeight w:val="300"/>
        </w:trPr>
        <w:tc>
          <w:tcPr>
            <w:tcW w:w="2446" w:type="dxa"/>
            <w:vMerge/>
          </w:tcPr>
          <w:p w14:paraId="11838BD7" w14:textId="77777777" w:rsidR="0046167A" w:rsidRPr="00EB1616" w:rsidRDefault="0046167A" w:rsidP="00EB1616">
            <w:pPr>
              <w:rPr>
                <w:b/>
                <w:sz w:val="20"/>
              </w:rPr>
            </w:pPr>
          </w:p>
        </w:tc>
        <w:tc>
          <w:tcPr>
            <w:tcW w:w="7665" w:type="dxa"/>
            <w:tcBorders>
              <w:top w:val="nil"/>
              <w:left w:val="single" w:sz="4" w:space="0" w:color="auto"/>
              <w:bottom w:val="single" w:sz="4" w:space="0" w:color="auto"/>
              <w:right w:val="single" w:sz="4" w:space="0" w:color="auto"/>
            </w:tcBorders>
          </w:tcPr>
          <w:p w14:paraId="620F061F" w14:textId="29FF032E" w:rsidR="00E36754" w:rsidRPr="00E36754" w:rsidRDefault="00E36754" w:rsidP="00E36754">
            <w:pPr>
              <w:rPr>
                <w:b/>
                <w:bCs/>
                <w:sz w:val="20"/>
              </w:rPr>
            </w:pPr>
            <w:r w:rsidRPr="00E36754">
              <w:rPr>
                <w:b/>
                <w:bCs/>
                <w:sz w:val="20"/>
              </w:rPr>
              <w:t xml:space="preserve">Tampereen korkeakoulusäätiö </w:t>
            </w:r>
            <w:proofErr w:type="spellStart"/>
            <w:r w:rsidRPr="00E36754">
              <w:rPr>
                <w:b/>
                <w:bCs/>
                <w:sz w:val="20"/>
              </w:rPr>
              <w:t>sr</w:t>
            </w:r>
            <w:proofErr w:type="spellEnd"/>
          </w:p>
          <w:p w14:paraId="756AB377" w14:textId="77777777" w:rsidR="00E36754" w:rsidRPr="00E36754" w:rsidRDefault="00E36754" w:rsidP="00E36754">
            <w:pPr>
              <w:rPr>
                <w:b/>
                <w:bCs/>
                <w:sz w:val="20"/>
              </w:rPr>
            </w:pPr>
            <w:r w:rsidRPr="00E36754">
              <w:rPr>
                <w:b/>
                <w:bCs/>
                <w:sz w:val="20"/>
              </w:rPr>
              <w:t>33014 Tampereen yliopisto</w:t>
            </w:r>
          </w:p>
          <w:p w14:paraId="7E986EC6" w14:textId="1973E521" w:rsidR="0046167A" w:rsidRPr="00E36754" w:rsidRDefault="00E36754" w:rsidP="00E36754">
            <w:pPr>
              <w:rPr>
                <w:sz w:val="20"/>
              </w:rPr>
            </w:pPr>
            <w:r w:rsidRPr="00E36754">
              <w:rPr>
                <w:b/>
                <w:bCs/>
                <w:sz w:val="20"/>
              </w:rPr>
              <w:t>Kalevantie 4, 33100 Tampere</w:t>
            </w:r>
          </w:p>
        </w:tc>
      </w:tr>
      <w:tr w:rsidR="0046167A" w:rsidRPr="00EB1616" w14:paraId="328135CA" w14:textId="77777777" w:rsidTr="395A8046">
        <w:trPr>
          <w:trHeight w:val="300"/>
        </w:trPr>
        <w:tc>
          <w:tcPr>
            <w:tcW w:w="2446" w:type="dxa"/>
            <w:vMerge/>
          </w:tcPr>
          <w:p w14:paraId="4FC266E3" w14:textId="77777777" w:rsidR="0046167A" w:rsidRPr="00EB1616" w:rsidRDefault="0046167A" w:rsidP="00EB1616">
            <w:pPr>
              <w:rPr>
                <w:b/>
                <w:sz w:val="20"/>
              </w:rPr>
            </w:pPr>
          </w:p>
        </w:tc>
        <w:tc>
          <w:tcPr>
            <w:tcW w:w="7665" w:type="dxa"/>
            <w:tcBorders>
              <w:top w:val="single" w:sz="4" w:space="0" w:color="auto"/>
              <w:left w:val="single" w:sz="4" w:space="0" w:color="auto"/>
              <w:bottom w:val="nil"/>
              <w:right w:val="single" w:sz="4" w:space="0" w:color="auto"/>
            </w:tcBorders>
          </w:tcPr>
          <w:p w14:paraId="6FF2039B" w14:textId="3BCDDEEE" w:rsidR="0046167A" w:rsidRPr="00553F04" w:rsidRDefault="0046167A">
            <w:pPr>
              <w:rPr>
                <w:b/>
                <w:bCs/>
                <w:sz w:val="16"/>
                <w:szCs w:val="16"/>
              </w:rPr>
            </w:pPr>
            <w:r w:rsidRPr="235321FB">
              <w:rPr>
                <w:sz w:val="16"/>
                <w:szCs w:val="16"/>
              </w:rPr>
              <w:t xml:space="preserve">Muut yhteystiedot </w:t>
            </w:r>
          </w:p>
        </w:tc>
      </w:tr>
      <w:tr w:rsidR="0046167A" w:rsidRPr="00553F04" w14:paraId="5755AA06" w14:textId="77777777" w:rsidTr="395A8046">
        <w:trPr>
          <w:trHeight w:val="300"/>
        </w:trPr>
        <w:tc>
          <w:tcPr>
            <w:tcW w:w="2446" w:type="dxa"/>
            <w:vMerge/>
          </w:tcPr>
          <w:p w14:paraId="21F95030" w14:textId="77777777" w:rsidR="0046167A" w:rsidRPr="00EB1616" w:rsidRDefault="0046167A" w:rsidP="00EB1616">
            <w:pPr>
              <w:rPr>
                <w:b/>
                <w:sz w:val="20"/>
              </w:rPr>
            </w:pPr>
          </w:p>
        </w:tc>
        <w:tc>
          <w:tcPr>
            <w:tcW w:w="7665" w:type="dxa"/>
            <w:tcBorders>
              <w:top w:val="nil"/>
              <w:left w:val="single" w:sz="4" w:space="0" w:color="auto"/>
              <w:bottom w:val="single" w:sz="4" w:space="0" w:color="auto"/>
              <w:right w:val="single" w:sz="4" w:space="0" w:color="auto"/>
            </w:tcBorders>
          </w:tcPr>
          <w:p w14:paraId="7486180D" w14:textId="3F9FD064" w:rsidR="0046167A" w:rsidRPr="00553F04" w:rsidRDefault="00553F04" w:rsidP="00164A71">
            <w:pPr>
              <w:rPr>
                <w:b/>
                <w:bCs/>
              </w:rPr>
            </w:pPr>
            <w:r w:rsidRPr="00553F04">
              <w:rPr>
                <w:b/>
                <w:bCs/>
                <w:sz w:val="20"/>
                <w:szCs w:val="18"/>
              </w:rPr>
              <w:t>0294 5211</w:t>
            </w:r>
            <w:r w:rsidR="00DA2401">
              <w:rPr>
                <w:b/>
                <w:bCs/>
                <w:sz w:val="20"/>
                <w:szCs w:val="18"/>
              </w:rPr>
              <w:t xml:space="preserve"> </w:t>
            </w:r>
            <w:r w:rsidRPr="00553F04">
              <w:rPr>
                <w:b/>
                <w:bCs/>
                <w:sz w:val="20"/>
                <w:szCs w:val="18"/>
              </w:rPr>
              <w:t>(yl</w:t>
            </w:r>
            <w:r>
              <w:rPr>
                <w:b/>
                <w:bCs/>
                <w:sz w:val="20"/>
                <w:szCs w:val="18"/>
              </w:rPr>
              <w:t>iopiston puhelinvaihde)</w:t>
            </w:r>
          </w:p>
        </w:tc>
      </w:tr>
      <w:tr w:rsidR="00561228" w:rsidRPr="00EB1616" w14:paraId="1D1CF2E9" w14:textId="77777777" w:rsidTr="395A8046">
        <w:trPr>
          <w:trHeight w:val="779"/>
        </w:trPr>
        <w:tc>
          <w:tcPr>
            <w:tcW w:w="2446" w:type="dxa"/>
            <w:tcBorders>
              <w:right w:val="single" w:sz="4" w:space="0" w:color="auto"/>
            </w:tcBorders>
          </w:tcPr>
          <w:p w14:paraId="0C689966" w14:textId="77777777" w:rsidR="00561228" w:rsidRPr="00EB1616" w:rsidRDefault="00561228" w:rsidP="00EB1616">
            <w:pPr>
              <w:rPr>
                <w:b/>
                <w:sz w:val="20"/>
              </w:rPr>
            </w:pPr>
            <w:r w:rsidRPr="00EB1616">
              <w:rPr>
                <w:b/>
                <w:sz w:val="20"/>
              </w:rPr>
              <w:t>2</w:t>
            </w:r>
            <w:r w:rsidRPr="00EB1616">
              <w:rPr>
                <w:b/>
                <w:sz w:val="20"/>
              </w:rPr>
              <w:br/>
              <w:t>Tietosuoja-</w:t>
            </w:r>
            <w:r w:rsidRPr="00EB1616">
              <w:rPr>
                <w:b/>
                <w:sz w:val="20"/>
              </w:rPr>
              <w:br/>
              <w:t>vastaava</w:t>
            </w:r>
          </w:p>
        </w:tc>
        <w:tc>
          <w:tcPr>
            <w:tcW w:w="7665" w:type="dxa"/>
            <w:tcBorders>
              <w:top w:val="single" w:sz="4" w:space="0" w:color="auto"/>
              <w:left w:val="single" w:sz="4" w:space="0" w:color="auto"/>
              <w:right w:val="single" w:sz="4" w:space="0" w:color="auto"/>
            </w:tcBorders>
          </w:tcPr>
          <w:p w14:paraId="23D1A324" w14:textId="77777777" w:rsidR="00561228" w:rsidRDefault="00561228" w:rsidP="0046167A">
            <w:pPr>
              <w:rPr>
                <w:sz w:val="16"/>
                <w:szCs w:val="16"/>
              </w:rPr>
            </w:pPr>
            <w:r w:rsidRPr="00561228">
              <w:rPr>
                <w:sz w:val="16"/>
                <w:szCs w:val="16"/>
              </w:rPr>
              <w:t>Yhteystiedot</w:t>
            </w:r>
          </w:p>
          <w:p w14:paraId="3C6C61B0" w14:textId="77777777" w:rsidR="00561228" w:rsidRDefault="00561228" w:rsidP="0046167A">
            <w:pPr>
              <w:rPr>
                <w:sz w:val="16"/>
                <w:szCs w:val="16"/>
              </w:rPr>
            </w:pPr>
          </w:p>
          <w:p w14:paraId="24EC6CF7" w14:textId="443E3E2A" w:rsidR="00561228" w:rsidRPr="00F743ED" w:rsidRDefault="00164A71" w:rsidP="00164A71">
            <w:pPr>
              <w:rPr>
                <w:rFonts w:ascii="Times New Roman" w:hAnsi="Times New Roman"/>
                <w:sz w:val="24"/>
              </w:rPr>
            </w:pPr>
            <w:r>
              <w:rPr>
                <w:sz w:val="20"/>
              </w:rPr>
              <w:t xml:space="preserve">Jukka Tuomela, Kalevantie 4, 33100, </w:t>
            </w:r>
            <w:r w:rsidRPr="00164A71">
              <w:rPr>
                <w:sz w:val="20"/>
                <w:szCs w:val="18"/>
              </w:rPr>
              <w:t>+358504377074</w:t>
            </w:r>
            <w:r w:rsidR="00DA2401">
              <w:rPr>
                <w:sz w:val="20"/>
                <w:szCs w:val="18"/>
              </w:rPr>
              <w:t xml:space="preserve"> </w:t>
            </w:r>
            <w:r w:rsidR="00F743ED">
              <w:rPr>
                <w:rStyle w:val="Hyperlink"/>
                <w:sz w:val="20"/>
                <w:szCs w:val="18"/>
                <w:u w:val="none"/>
              </w:rPr>
              <w:t>dpo</w:t>
            </w:r>
            <w:r w:rsidR="004D1861">
              <w:rPr>
                <w:rStyle w:val="Hyperlink"/>
                <w:sz w:val="20"/>
                <w:szCs w:val="18"/>
                <w:u w:val="none"/>
              </w:rPr>
              <w:t>@</w:t>
            </w:r>
            <w:r w:rsidR="00F743ED">
              <w:rPr>
                <w:rStyle w:val="Hyperlink"/>
                <w:sz w:val="20"/>
                <w:szCs w:val="18"/>
                <w:u w:val="none"/>
              </w:rPr>
              <w:t>tuni.fi</w:t>
            </w:r>
          </w:p>
        </w:tc>
      </w:tr>
      <w:tr w:rsidR="0046167A" w:rsidRPr="00EB1616" w14:paraId="693D22E6" w14:textId="77777777" w:rsidTr="395A8046">
        <w:trPr>
          <w:trHeight w:val="458"/>
        </w:trPr>
        <w:tc>
          <w:tcPr>
            <w:tcW w:w="2446" w:type="dxa"/>
            <w:vMerge w:val="restart"/>
            <w:tcBorders>
              <w:right w:val="single" w:sz="4" w:space="0" w:color="auto"/>
            </w:tcBorders>
          </w:tcPr>
          <w:p w14:paraId="7A9F8A71" w14:textId="77777777" w:rsidR="0046167A" w:rsidRPr="00EB1616" w:rsidRDefault="0046167A" w:rsidP="00EB1616">
            <w:pPr>
              <w:rPr>
                <w:b/>
                <w:sz w:val="20"/>
              </w:rPr>
            </w:pPr>
            <w:r w:rsidRPr="00EB1616">
              <w:rPr>
                <w:b/>
                <w:sz w:val="20"/>
              </w:rPr>
              <w:t>3</w:t>
            </w:r>
            <w:r w:rsidRPr="00EB1616">
              <w:rPr>
                <w:b/>
                <w:sz w:val="20"/>
              </w:rPr>
              <w:br/>
              <w:t xml:space="preserve">Yhteyshenkilö </w:t>
            </w:r>
            <w:r w:rsidRPr="00EB1616">
              <w:rPr>
                <w:b/>
                <w:sz w:val="20"/>
              </w:rPr>
              <w:br/>
            </w:r>
            <w:r>
              <w:rPr>
                <w:b/>
                <w:sz w:val="20"/>
              </w:rPr>
              <w:t>rekis</w:t>
            </w:r>
            <w:r w:rsidRPr="00EB1616">
              <w:rPr>
                <w:b/>
                <w:sz w:val="20"/>
              </w:rPr>
              <w:t xml:space="preserve">teriä </w:t>
            </w:r>
            <w:r w:rsidRPr="00EB1616">
              <w:rPr>
                <w:b/>
                <w:sz w:val="20"/>
              </w:rPr>
              <w:br/>
              <w:t>koskevissa asioissa</w:t>
            </w:r>
          </w:p>
        </w:tc>
        <w:tc>
          <w:tcPr>
            <w:tcW w:w="7665" w:type="dxa"/>
            <w:tcBorders>
              <w:top w:val="single" w:sz="4" w:space="0" w:color="auto"/>
              <w:left w:val="single" w:sz="4" w:space="0" w:color="auto"/>
              <w:bottom w:val="nil"/>
              <w:right w:val="single" w:sz="4" w:space="0" w:color="auto"/>
            </w:tcBorders>
          </w:tcPr>
          <w:p w14:paraId="558EFAEC" w14:textId="447A5A22" w:rsidR="0046167A" w:rsidRPr="00EB1616" w:rsidRDefault="0046167A" w:rsidP="235321FB">
            <w:pPr>
              <w:rPr>
                <w:i/>
                <w:iCs/>
                <w:sz w:val="16"/>
                <w:szCs w:val="16"/>
              </w:rPr>
            </w:pPr>
            <w:r w:rsidRPr="235321FB">
              <w:rPr>
                <w:sz w:val="16"/>
                <w:szCs w:val="16"/>
              </w:rPr>
              <w:t xml:space="preserve">Yhteyshenkilö </w:t>
            </w:r>
          </w:p>
        </w:tc>
      </w:tr>
      <w:tr w:rsidR="0046167A" w:rsidRPr="00EB1616" w14:paraId="36C42802" w14:textId="77777777" w:rsidTr="395A8046">
        <w:trPr>
          <w:trHeight w:val="457"/>
        </w:trPr>
        <w:tc>
          <w:tcPr>
            <w:tcW w:w="2446" w:type="dxa"/>
            <w:vMerge/>
          </w:tcPr>
          <w:p w14:paraId="6970B25C" w14:textId="77777777" w:rsidR="0046167A" w:rsidRPr="00EB1616" w:rsidRDefault="0046167A" w:rsidP="00EB1616">
            <w:pPr>
              <w:rPr>
                <w:b/>
                <w:sz w:val="20"/>
              </w:rPr>
            </w:pPr>
          </w:p>
        </w:tc>
        <w:tc>
          <w:tcPr>
            <w:tcW w:w="7665" w:type="dxa"/>
            <w:tcBorders>
              <w:top w:val="nil"/>
              <w:left w:val="single" w:sz="4" w:space="0" w:color="auto"/>
              <w:bottom w:val="single" w:sz="4" w:space="0" w:color="auto"/>
              <w:right w:val="single" w:sz="4" w:space="0" w:color="auto"/>
            </w:tcBorders>
          </w:tcPr>
          <w:p w14:paraId="23776757" w14:textId="25DFF203" w:rsidR="0046167A" w:rsidRPr="007E6F4A" w:rsidRDefault="00164A71" w:rsidP="00EB1616">
            <w:pPr>
              <w:rPr>
                <w:b/>
                <w:bCs/>
                <w:sz w:val="16"/>
                <w:szCs w:val="16"/>
              </w:rPr>
            </w:pPr>
            <w:r>
              <w:rPr>
                <w:sz w:val="20"/>
              </w:rPr>
              <w:t>Riitta Sauni</w:t>
            </w:r>
            <w:r w:rsidR="007E6F4A">
              <w:rPr>
                <w:b/>
                <w:bCs/>
                <w:sz w:val="20"/>
              </w:rPr>
              <w:t xml:space="preserve">, </w:t>
            </w:r>
            <w:hyperlink r:id="rId11" w:history="1">
              <w:r w:rsidR="009D73B5" w:rsidRPr="004C174F">
                <w:rPr>
                  <w:rStyle w:val="Hyperlink"/>
                  <w:b/>
                  <w:bCs/>
                  <w:sz w:val="20"/>
                </w:rPr>
                <w:t>riitta.sauni@tuni.fi</w:t>
              </w:r>
            </w:hyperlink>
            <w:r w:rsidR="009D73B5">
              <w:rPr>
                <w:b/>
                <w:bCs/>
                <w:sz w:val="20"/>
              </w:rPr>
              <w:t xml:space="preserve">, </w:t>
            </w:r>
            <w:r w:rsidR="00142E08">
              <w:rPr>
                <w:b/>
                <w:bCs/>
                <w:sz w:val="20"/>
              </w:rPr>
              <w:t>+358504768034</w:t>
            </w:r>
          </w:p>
        </w:tc>
      </w:tr>
      <w:tr w:rsidR="00EB1616" w:rsidRPr="00EB1616" w14:paraId="4118A379" w14:textId="77777777" w:rsidTr="395A8046">
        <w:tc>
          <w:tcPr>
            <w:tcW w:w="2446" w:type="dxa"/>
          </w:tcPr>
          <w:p w14:paraId="1E3F9F6F" w14:textId="77777777" w:rsidR="00EB1616" w:rsidRPr="00EB1616" w:rsidRDefault="00EB1616" w:rsidP="00EB1616">
            <w:pPr>
              <w:rPr>
                <w:b/>
                <w:sz w:val="20"/>
              </w:rPr>
            </w:pPr>
            <w:r w:rsidRPr="00EB1616">
              <w:rPr>
                <w:b/>
                <w:sz w:val="20"/>
              </w:rPr>
              <w:t>4</w:t>
            </w:r>
            <w:r w:rsidRPr="00EB1616">
              <w:rPr>
                <w:b/>
                <w:sz w:val="20"/>
              </w:rPr>
              <w:br/>
              <w:t>Tutkimuksen nimi</w:t>
            </w:r>
          </w:p>
        </w:tc>
        <w:tc>
          <w:tcPr>
            <w:tcW w:w="7665" w:type="dxa"/>
            <w:tcBorders>
              <w:top w:val="single" w:sz="4" w:space="0" w:color="auto"/>
            </w:tcBorders>
          </w:tcPr>
          <w:p w14:paraId="124A22C8" w14:textId="77777777" w:rsidR="00164A71" w:rsidRDefault="00164A71" w:rsidP="00164A71">
            <w:pPr>
              <w:rPr>
                <w:sz w:val="20"/>
              </w:rPr>
            </w:pPr>
          </w:p>
          <w:p w14:paraId="2C81AB85" w14:textId="059DD03B" w:rsidR="007C2C81" w:rsidRDefault="00164A71" w:rsidP="00164A71">
            <w:pPr>
              <w:rPr>
                <w:sz w:val="20"/>
              </w:rPr>
            </w:pPr>
            <w:r>
              <w:rPr>
                <w:sz w:val="20"/>
              </w:rPr>
              <w:t>Työkyvyn tuella pidempiä työuria ja tuottavuutta – toimintamallit monialaiseen yhteistyöhön (TYKYTUO)</w:t>
            </w:r>
          </w:p>
          <w:p w14:paraId="29551BCF" w14:textId="327779A0" w:rsidR="00164A71" w:rsidRPr="00EB1616" w:rsidRDefault="00164A71" w:rsidP="00164A71">
            <w:pPr>
              <w:rPr>
                <w:sz w:val="20"/>
              </w:rPr>
            </w:pPr>
          </w:p>
        </w:tc>
      </w:tr>
      <w:tr w:rsidR="00EB1616" w:rsidRPr="00EB1616" w14:paraId="4329CBE9" w14:textId="77777777" w:rsidTr="395A8046">
        <w:tc>
          <w:tcPr>
            <w:tcW w:w="2446" w:type="dxa"/>
          </w:tcPr>
          <w:p w14:paraId="6944398A" w14:textId="77777777" w:rsidR="00EB1616" w:rsidRPr="00EB1616" w:rsidRDefault="00EB1616" w:rsidP="00EB1616">
            <w:pPr>
              <w:rPr>
                <w:b/>
                <w:sz w:val="20"/>
              </w:rPr>
            </w:pPr>
            <w:r w:rsidRPr="00EB1616">
              <w:rPr>
                <w:b/>
                <w:sz w:val="20"/>
              </w:rPr>
              <w:t>5</w:t>
            </w:r>
            <w:r w:rsidRPr="00EB1616">
              <w:rPr>
                <w:b/>
                <w:sz w:val="20"/>
              </w:rPr>
              <w:br/>
              <w:t>Rekisterin nimi</w:t>
            </w:r>
          </w:p>
        </w:tc>
        <w:tc>
          <w:tcPr>
            <w:tcW w:w="7665" w:type="dxa"/>
          </w:tcPr>
          <w:p w14:paraId="79604224" w14:textId="77777777" w:rsidR="00EB1616" w:rsidRDefault="00EB1616" w:rsidP="00EB1616">
            <w:pPr>
              <w:rPr>
                <w:sz w:val="20"/>
              </w:rPr>
            </w:pPr>
          </w:p>
          <w:p w14:paraId="7CD64534" w14:textId="22E3A195" w:rsidR="007C2C81" w:rsidRPr="00EB1616" w:rsidRDefault="00694F65" w:rsidP="00EB1616">
            <w:pPr>
              <w:rPr>
                <w:sz w:val="20"/>
              </w:rPr>
            </w:pPr>
            <w:r>
              <w:rPr>
                <w:sz w:val="20"/>
              </w:rPr>
              <w:t xml:space="preserve">TYKYTUO </w:t>
            </w:r>
            <w:r w:rsidR="008C7CF2">
              <w:rPr>
                <w:sz w:val="20"/>
              </w:rPr>
              <w:t>–</w:t>
            </w:r>
            <w:r>
              <w:rPr>
                <w:sz w:val="20"/>
              </w:rPr>
              <w:t>rekisteri</w:t>
            </w:r>
          </w:p>
        </w:tc>
      </w:tr>
      <w:tr w:rsidR="00EB1616" w:rsidRPr="00EB1616" w14:paraId="2618381D" w14:textId="77777777" w:rsidTr="395A8046">
        <w:tc>
          <w:tcPr>
            <w:tcW w:w="2446" w:type="dxa"/>
          </w:tcPr>
          <w:p w14:paraId="35807267" w14:textId="77777777" w:rsidR="00EB1616" w:rsidRPr="00EB1616" w:rsidRDefault="00EB1616" w:rsidP="00EB1616">
            <w:pPr>
              <w:rPr>
                <w:b/>
                <w:sz w:val="20"/>
              </w:rPr>
            </w:pPr>
            <w:r w:rsidRPr="00EB1616">
              <w:rPr>
                <w:b/>
                <w:sz w:val="20"/>
              </w:rPr>
              <w:t>6</w:t>
            </w:r>
            <w:r w:rsidRPr="00EB1616">
              <w:rPr>
                <w:b/>
                <w:sz w:val="20"/>
              </w:rPr>
              <w:br/>
              <w:t>Henkilötietojen käsittelyn tarkoitus sekä oikeusperuste</w:t>
            </w:r>
          </w:p>
        </w:tc>
        <w:tc>
          <w:tcPr>
            <w:tcW w:w="7665" w:type="dxa"/>
          </w:tcPr>
          <w:p w14:paraId="1BB19B35" w14:textId="77777777" w:rsidR="007C2C81" w:rsidRDefault="007C2C81" w:rsidP="00EB1616">
            <w:pPr>
              <w:rPr>
                <w:sz w:val="20"/>
              </w:rPr>
            </w:pPr>
          </w:p>
          <w:p w14:paraId="079C062A" w14:textId="11BAA02E" w:rsidR="00FF0172" w:rsidRPr="00953A4E" w:rsidRDefault="00953A4E" w:rsidP="007C2C81">
            <w:pPr>
              <w:rPr>
                <w:rFonts w:cs="Arial"/>
                <w:sz w:val="20"/>
              </w:rPr>
            </w:pPr>
            <w:r w:rsidRPr="00E37683">
              <w:rPr>
                <w:rFonts w:cs="Arial"/>
                <w:b/>
                <w:bCs/>
                <w:sz w:val="20"/>
              </w:rPr>
              <w:t xml:space="preserve">Rekisterin sisältämien henkilötietojen </w:t>
            </w:r>
            <w:r w:rsidR="00E37683" w:rsidRPr="00E37683">
              <w:rPr>
                <w:rFonts w:cs="Arial"/>
                <w:b/>
                <w:bCs/>
                <w:sz w:val="20"/>
              </w:rPr>
              <w:t>käsittelyn tarkoitus on tieteellinen tutkimus.</w:t>
            </w:r>
          </w:p>
          <w:p w14:paraId="07A53ECC" w14:textId="77777777" w:rsidR="00FF0172" w:rsidRPr="00694F65" w:rsidRDefault="00FF0172" w:rsidP="007C2C81">
            <w:pPr>
              <w:rPr>
                <w:rFonts w:cs="Arial"/>
                <w:sz w:val="20"/>
              </w:rPr>
            </w:pPr>
          </w:p>
          <w:p w14:paraId="10A1DAFB" w14:textId="44D4E852" w:rsidR="00694F65" w:rsidRPr="00694F65" w:rsidRDefault="003F2A75" w:rsidP="00694F65">
            <w:pPr>
              <w:rPr>
                <w:rFonts w:cs="Arial"/>
                <w:sz w:val="20"/>
              </w:rPr>
            </w:pPr>
            <w:r>
              <w:rPr>
                <w:rFonts w:cs="Arial"/>
                <w:sz w:val="20"/>
              </w:rPr>
              <w:t>Tutkimus on kolmiosainen.</w:t>
            </w:r>
            <w:r w:rsidRPr="00694F65">
              <w:rPr>
                <w:rFonts w:cs="Arial"/>
                <w:sz w:val="20"/>
              </w:rPr>
              <w:t xml:space="preserve"> Nyt haettava eettisen toimikunnan lausunto koskee hankkeen ensimmäistä vaihetta,</w:t>
            </w:r>
            <w:r>
              <w:rPr>
                <w:rFonts w:cs="Arial"/>
                <w:sz w:val="20"/>
              </w:rPr>
              <w:t xml:space="preserve"> jossa</w:t>
            </w:r>
            <w:r w:rsidR="00694F65" w:rsidRPr="00694F65">
              <w:rPr>
                <w:rFonts w:cs="Arial"/>
                <w:sz w:val="20"/>
              </w:rPr>
              <w:t xml:space="preserve"> selvitetään, miten työhön liittyvyys merkintä -interventiolla voidaan vaikuttaa työssäkäyvien perusterveydenhuollon potilaiden ohjautumiseen työterveyshuoltoon. Intervention tavoitteena on kehittää varhaista työkyvyn tuen tunnistamista ja työurien jatkuvuutta sekä työelämän tuottavuutta. </w:t>
            </w:r>
          </w:p>
          <w:p w14:paraId="26566A73" w14:textId="2461CC4C" w:rsidR="00694F65" w:rsidRDefault="00694F65" w:rsidP="00694F65">
            <w:pPr>
              <w:rPr>
                <w:rFonts w:cs="Arial"/>
                <w:i/>
                <w:sz w:val="20"/>
              </w:rPr>
            </w:pPr>
          </w:p>
          <w:p w14:paraId="56E74870" w14:textId="0FC0EC72" w:rsidR="00D270CF" w:rsidRDefault="00361FFC" w:rsidP="00694F65">
            <w:pPr>
              <w:rPr>
                <w:sz w:val="20"/>
                <w:szCs w:val="18"/>
              </w:rPr>
            </w:pPr>
            <w:r w:rsidRPr="00361FFC">
              <w:rPr>
                <w:b/>
                <w:bCs/>
                <w:sz w:val="20"/>
                <w:szCs w:val="18"/>
              </w:rPr>
              <w:t>Koska henkilötietojen käsittelyn oikeudellinen peruste on tutkittavan suostumus,</w:t>
            </w:r>
            <w:r>
              <w:rPr>
                <w:sz w:val="20"/>
                <w:szCs w:val="18"/>
              </w:rPr>
              <w:t xml:space="preserve"> </w:t>
            </w:r>
            <w:proofErr w:type="spellStart"/>
            <w:r w:rsidR="00D270CF" w:rsidRPr="00361FFC">
              <w:rPr>
                <w:strike/>
                <w:sz w:val="20"/>
                <w:szCs w:val="18"/>
              </w:rPr>
              <w:t>H</w:t>
            </w:r>
            <w:r w:rsidRPr="00361FFC">
              <w:rPr>
                <w:b/>
                <w:bCs/>
                <w:sz w:val="20"/>
                <w:szCs w:val="18"/>
              </w:rPr>
              <w:t>h</w:t>
            </w:r>
            <w:r w:rsidR="00D270CF" w:rsidRPr="00D270CF">
              <w:rPr>
                <w:sz w:val="20"/>
                <w:szCs w:val="18"/>
              </w:rPr>
              <w:t>ankkeeseen</w:t>
            </w:r>
            <w:proofErr w:type="spellEnd"/>
            <w:r w:rsidR="00D270CF" w:rsidRPr="00D270CF">
              <w:rPr>
                <w:sz w:val="20"/>
                <w:szCs w:val="18"/>
              </w:rPr>
              <w:t xml:space="preserve"> osallistuvilta henkilöiltä pyydetään kirjallinen suostumus osallistua tutkimukseen sen jälkeen</w:t>
            </w:r>
            <w:r w:rsidR="00D270CF">
              <w:rPr>
                <w:sz w:val="20"/>
                <w:szCs w:val="18"/>
              </w:rPr>
              <w:t>,</w:t>
            </w:r>
            <w:r w:rsidR="00D270CF" w:rsidRPr="00D270CF">
              <w:rPr>
                <w:sz w:val="20"/>
                <w:szCs w:val="18"/>
              </w:rPr>
              <w:t xml:space="preserve"> kun he ovat saaneet luettavakseen ja tutustuttavakseen hankkeen </w:t>
            </w:r>
            <w:r w:rsidR="00D270CF" w:rsidRPr="00DA2401">
              <w:rPr>
                <w:sz w:val="20"/>
                <w:szCs w:val="18"/>
              </w:rPr>
              <w:t>kuvauksen. Tutkimukseen osallistuville, kerrotaan rekrytoinnin yhteydessä heidän oikeuksista</w:t>
            </w:r>
            <w:r w:rsidR="0013317C" w:rsidRPr="00DA2401">
              <w:rPr>
                <w:sz w:val="20"/>
                <w:szCs w:val="18"/>
              </w:rPr>
              <w:t>an</w:t>
            </w:r>
            <w:r w:rsidR="00D270CF" w:rsidRPr="00DA2401">
              <w:rPr>
                <w:sz w:val="20"/>
                <w:szCs w:val="18"/>
              </w:rPr>
              <w:t xml:space="preserve"> perua suostumus missä tahansa tutkimuksen vaiheessa, ilman että se vaikuttaa he</w:t>
            </w:r>
            <w:r w:rsidR="00D270CF">
              <w:rPr>
                <w:sz w:val="20"/>
                <w:szCs w:val="18"/>
              </w:rPr>
              <w:t xml:space="preserve">idän saamaan hoitoon tai heidän saamaan palveluun. Heidän siihen mennessä antamia tietoja voidaan kuitenkin joissakin tapauksissa lain nojalla käyttää tutkimuksen loppuun saattamiseksi. Kaikki suostumukset säilytetään tietoturvallisesti tutkimuksen päättymiseen asti. </w:t>
            </w:r>
          </w:p>
          <w:p w14:paraId="61E2D215" w14:textId="55A2602C" w:rsidR="00D270CF" w:rsidRDefault="00D270CF" w:rsidP="00694F65">
            <w:pPr>
              <w:rPr>
                <w:rFonts w:cs="Arial"/>
                <w:iCs/>
                <w:sz w:val="18"/>
                <w:szCs w:val="18"/>
              </w:rPr>
            </w:pPr>
          </w:p>
          <w:p w14:paraId="51504B14" w14:textId="73FAC2FD" w:rsidR="00D270CF" w:rsidRPr="00D270CF" w:rsidRDefault="00D270CF" w:rsidP="395A8046">
            <w:pPr>
              <w:rPr>
                <w:rFonts w:cs="Arial"/>
                <w:sz w:val="20"/>
              </w:rPr>
            </w:pPr>
            <w:r w:rsidRPr="395A8046">
              <w:rPr>
                <w:rFonts w:cs="Arial"/>
                <w:sz w:val="20"/>
              </w:rPr>
              <w:t xml:space="preserve">Henkilötietojen käsittely on tutkimuksessa välttämätöntä, jotta voidaan selvittää miten varhainen </w:t>
            </w:r>
            <w:r w:rsidRPr="00DA2401">
              <w:rPr>
                <w:rFonts w:cs="Arial"/>
                <w:sz w:val="20"/>
              </w:rPr>
              <w:t xml:space="preserve">työkyvyn tuki vaikuttaa työkykyyn, työuriin ja näin yksilön elämän laatuun. </w:t>
            </w:r>
            <w:r w:rsidR="003829EC" w:rsidRPr="00DA2401">
              <w:rPr>
                <w:rFonts w:cs="Arial"/>
                <w:sz w:val="20"/>
              </w:rPr>
              <w:t xml:space="preserve">Tutkimuksessa tullaan keräämään </w:t>
            </w:r>
            <w:r w:rsidR="00081681" w:rsidRPr="00DA2401">
              <w:rPr>
                <w:rFonts w:cs="Arial"/>
                <w:sz w:val="20"/>
              </w:rPr>
              <w:t>arkaluontois</w:t>
            </w:r>
            <w:r w:rsidR="00866E54" w:rsidRPr="00DA2401">
              <w:rPr>
                <w:rFonts w:cs="Arial"/>
                <w:sz w:val="20"/>
              </w:rPr>
              <w:t>ta terveystietoa henkilöiden terve</w:t>
            </w:r>
            <w:r w:rsidR="005F2224" w:rsidRPr="00DA2401">
              <w:rPr>
                <w:rFonts w:cs="Arial"/>
                <w:sz w:val="20"/>
              </w:rPr>
              <w:t>ydentilaa</w:t>
            </w:r>
            <w:r w:rsidR="00866E54" w:rsidRPr="00DA2401">
              <w:rPr>
                <w:rFonts w:cs="Arial"/>
                <w:sz w:val="20"/>
              </w:rPr>
              <w:t xml:space="preserve"> kuvaavista palvelu</w:t>
            </w:r>
            <w:r w:rsidR="004257F4" w:rsidRPr="00DA2401">
              <w:rPr>
                <w:rFonts w:cs="Arial"/>
                <w:sz w:val="20"/>
              </w:rPr>
              <w:t>ista</w:t>
            </w:r>
            <w:r w:rsidR="005F2224" w:rsidRPr="00DA2401">
              <w:rPr>
                <w:rFonts w:cs="Arial"/>
                <w:sz w:val="20"/>
              </w:rPr>
              <w:t xml:space="preserve">. </w:t>
            </w:r>
            <w:r w:rsidR="51F3FEB4" w:rsidRPr="00DA2401">
              <w:rPr>
                <w:rFonts w:ascii="Calibri" w:eastAsia="Calibri" w:hAnsi="Calibri" w:cs="Calibri"/>
              </w:rPr>
              <w:t>Tutkimuksen yhteydessä kerättyjä henkilötietoja voidaan käyttää myös työterveyshuoltoryhmän</w:t>
            </w:r>
            <w:r w:rsidR="51F3FEB4" w:rsidRPr="00DA2401">
              <w:rPr>
                <w:rFonts w:ascii="Calibri" w:eastAsia="Calibri" w:hAnsi="Calibri" w:cs="Calibri"/>
                <w:sz w:val="24"/>
                <w:szCs w:val="24"/>
              </w:rPr>
              <w:t xml:space="preserve"> </w:t>
            </w:r>
            <w:r w:rsidR="51F3FEB4" w:rsidRPr="00DA2401">
              <w:rPr>
                <w:rFonts w:ascii="Calibri" w:eastAsia="Calibri" w:hAnsi="Calibri" w:cs="Calibri"/>
              </w:rPr>
              <w:t xml:space="preserve">myöhemmissä työterveyteen liittyvissä tieteellisissä tutkimuksissa ja luovuttaa niitä tutkimusryhmän tutkimusyhteistyökumppaneille. </w:t>
            </w:r>
            <w:r w:rsidRPr="00DA2401">
              <w:rPr>
                <w:rFonts w:cs="Arial"/>
                <w:sz w:val="20"/>
              </w:rPr>
              <w:t>Terveystietojen</w:t>
            </w:r>
            <w:r w:rsidRPr="395A8046">
              <w:rPr>
                <w:rFonts w:cs="Arial"/>
                <w:sz w:val="20"/>
              </w:rPr>
              <w:t xml:space="preserve"> perusteella on mahdollista paikantaa riskitekijöitä sekä riskiryhmiä. Kaikki tulokset analysoidaan ja raportoidaan </w:t>
            </w:r>
            <w:proofErr w:type="spellStart"/>
            <w:r w:rsidRPr="395A8046">
              <w:rPr>
                <w:rFonts w:cs="Arial"/>
                <w:sz w:val="20"/>
              </w:rPr>
              <w:t>pseudonymisoituina</w:t>
            </w:r>
            <w:proofErr w:type="spellEnd"/>
            <w:r w:rsidRPr="395A8046">
              <w:rPr>
                <w:rFonts w:cs="Arial"/>
                <w:sz w:val="20"/>
              </w:rPr>
              <w:t xml:space="preserve"> ryhmätasolla, jolloin ei ole vähäisintäkään mahdollisuutta yksilöidä henkilöitä. </w:t>
            </w:r>
          </w:p>
          <w:p w14:paraId="4414790D" w14:textId="6C381E24" w:rsidR="235321FB" w:rsidRDefault="235321FB" w:rsidP="235321FB">
            <w:pPr>
              <w:rPr>
                <w:rFonts w:cs="Arial"/>
                <w:sz w:val="20"/>
              </w:rPr>
            </w:pPr>
          </w:p>
          <w:p w14:paraId="31E7169F" w14:textId="4E1B2F3D" w:rsidR="6A0A19C6" w:rsidRDefault="6A0A19C6" w:rsidP="235321FB">
            <w:pPr>
              <w:spacing w:line="259" w:lineRule="auto"/>
              <w:rPr>
                <w:rFonts w:cs="Arial"/>
                <w:sz w:val="20"/>
              </w:rPr>
            </w:pPr>
            <w:r w:rsidRPr="235321FB">
              <w:rPr>
                <w:rFonts w:cs="Arial"/>
                <w:sz w:val="20"/>
              </w:rPr>
              <w:t xml:space="preserve">Interventio- ja kontrollikuntien välisessä vertailussa </w:t>
            </w:r>
            <w:r w:rsidR="0FCF6011" w:rsidRPr="235321FB">
              <w:rPr>
                <w:rFonts w:cs="Arial"/>
                <w:sz w:val="20"/>
              </w:rPr>
              <w:t>käytetään tilastotietoja</w:t>
            </w:r>
            <w:r w:rsidR="537925C7" w:rsidRPr="235321FB">
              <w:rPr>
                <w:rFonts w:cs="Arial"/>
                <w:sz w:val="20"/>
              </w:rPr>
              <w:t>.</w:t>
            </w:r>
          </w:p>
          <w:p w14:paraId="529DADDA" w14:textId="1DD6E92F" w:rsidR="007445E2" w:rsidRDefault="00121338" w:rsidP="00694F65">
            <w:pPr>
              <w:pStyle w:val="Heading2"/>
              <w:rPr>
                <w:rFonts w:cs="Arial"/>
                <w:sz w:val="20"/>
              </w:rPr>
            </w:pPr>
            <w:r>
              <w:rPr>
                <w:rFonts w:cs="Arial"/>
                <w:sz w:val="20"/>
              </w:rPr>
              <w:lastRenderedPageBreak/>
              <w:t>H</w:t>
            </w:r>
            <w:r w:rsidR="00F746C8" w:rsidRPr="00151F84">
              <w:rPr>
                <w:rFonts w:cs="Arial"/>
                <w:sz w:val="20"/>
              </w:rPr>
              <w:t>enkilötietojen käsittelyn oikeusperuste on</w:t>
            </w:r>
            <w:r w:rsidR="007445E2">
              <w:rPr>
                <w:rFonts w:cs="Arial"/>
                <w:sz w:val="20"/>
              </w:rPr>
              <w:t xml:space="preserve"> </w:t>
            </w:r>
          </w:p>
          <w:p w14:paraId="422C2DA8" w14:textId="3EE1C3C2" w:rsidR="00694F65" w:rsidRDefault="007445E2" w:rsidP="00694F65">
            <w:pPr>
              <w:pStyle w:val="Heading2"/>
              <w:rPr>
                <w:rFonts w:ascii="Calibri" w:eastAsia="Calibri" w:hAnsi="Calibri" w:cs="Calibri"/>
                <w:bCs/>
                <w:sz w:val="20"/>
              </w:rPr>
            </w:pPr>
            <w:r w:rsidRPr="00121338">
              <w:rPr>
                <w:rFonts w:cs="Arial"/>
                <w:sz w:val="20"/>
              </w:rPr>
              <w:t>r</w:t>
            </w:r>
            <w:r w:rsidR="00694F65" w:rsidRPr="00121338">
              <w:rPr>
                <w:rFonts w:cs="Arial"/>
                <w:sz w:val="20"/>
              </w:rPr>
              <w:t>ekisteröidyn suostumus</w:t>
            </w:r>
            <w:r w:rsidRPr="00121338">
              <w:rPr>
                <w:rFonts w:cs="Arial"/>
                <w:sz w:val="20"/>
              </w:rPr>
              <w:t xml:space="preserve"> (</w:t>
            </w:r>
            <w:r w:rsidRPr="00151F84">
              <w:rPr>
                <w:rFonts w:asciiTheme="minorHAnsi" w:hAnsiTheme="minorHAnsi" w:cstheme="minorHAnsi"/>
                <w:bCs/>
                <w:sz w:val="20"/>
              </w:rPr>
              <w:t>y</w:t>
            </w:r>
            <w:r w:rsidRPr="00151F84">
              <w:rPr>
                <w:rFonts w:asciiTheme="minorHAnsi" w:eastAsia="Calibri" w:hAnsiTheme="minorHAnsi" w:cstheme="minorHAnsi"/>
                <w:bCs/>
                <w:sz w:val="20"/>
              </w:rPr>
              <w:t>leinen</w:t>
            </w:r>
            <w:r w:rsidRPr="00151F84">
              <w:rPr>
                <w:rFonts w:ascii="Calibri" w:eastAsia="Calibri" w:hAnsi="Calibri" w:cs="Calibri"/>
                <w:bCs/>
                <w:sz w:val="20"/>
              </w:rPr>
              <w:t xml:space="preserve"> tietosuoja-asetus art. 6 (1.a)</w:t>
            </w:r>
            <w:r w:rsidR="00121338">
              <w:rPr>
                <w:rFonts w:ascii="Calibri" w:eastAsia="Calibri" w:hAnsi="Calibri" w:cs="Calibri"/>
                <w:bCs/>
                <w:sz w:val="20"/>
              </w:rPr>
              <w:t>)</w:t>
            </w:r>
          </w:p>
          <w:p w14:paraId="00A5BA86" w14:textId="5146B8BD" w:rsidR="007445E2" w:rsidRDefault="007445E2" w:rsidP="61FEA0C2">
            <w:pPr>
              <w:rPr>
                <w:rFonts w:asciiTheme="minorHAnsi" w:hAnsiTheme="minorHAnsi" w:cstheme="minorHAnsi"/>
                <w:b/>
                <w:bCs/>
                <w:sz w:val="20"/>
              </w:rPr>
            </w:pPr>
            <w:r>
              <w:rPr>
                <w:rFonts w:asciiTheme="minorHAnsi" w:hAnsiTheme="minorHAnsi" w:cstheme="minorHAnsi"/>
                <w:b/>
                <w:bCs/>
                <w:sz w:val="20"/>
              </w:rPr>
              <w:t>terveystietojen osalta</w:t>
            </w:r>
            <w:r w:rsidR="00121338">
              <w:rPr>
                <w:rFonts w:asciiTheme="minorHAnsi" w:hAnsiTheme="minorHAnsi" w:cstheme="minorHAnsi"/>
                <w:b/>
                <w:bCs/>
                <w:sz w:val="20"/>
              </w:rPr>
              <w:t xml:space="preserve"> lisäksi</w:t>
            </w:r>
            <w:r>
              <w:rPr>
                <w:rFonts w:asciiTheme="minorHAnsi" w:hAnsiTheme="minorHAnsi" w:cstheme="minorHAnsi"/>
                <w:b/>
                <w:bCs/>
                <w:sz w:val="20"/>
              </w:rPr>
              <w:t xml:space="preserve"> </w:t>
            </w:r>
            <w:r w:rsidR="00BC395D" w:rsidRPr="00151F84">
              <w:rPr>
                <w:rFonts w:asciiTheme="minorHAnsi" w:hAnsiTheme="minorHAnsi" w:cstheme="minorHAnsi"/>
                <w:b/>
                <w:bCs/>
                <w:sz w:val="20"/>
              </w:rPr>
              <w:t>EU:n yleinen tietosuoja-asetu</w:t>
            </w:r>
            <w:r w:rsidR="00121338">
              <w:rPr>
                <w:rFonts w:asciiTheme="minorHAnsi" w:hAnsiTheme="minorHAnsi" w:cstheme="minorHAnsi"/>
                <w:b/>
                <w:bCs/>
                <w:sz w:val="20"/>
              </w:rPr>
              <w:t>s</w:t>
            </w:r>
            <w:r w:rsidR="00BC395D" w:rsidRPr="00151F84">
              <w:rPr>
                <w:rFonts w:asciiTheme="minorHAnsi" w:hAnsiTheme="minorHAnsi" w:cstheme="minorHAnsi"/>
                <w:b/>
                <w:bCs/>
                <w:sz w:val="20"/>
              </w:rPr>
              <w:t xml:space="preserve">, artikla 9 </w:t>
            </w:r>
            <w:r w:rsidR="00121338">
              <w:rPr>
                <w:rFonts w:asciiTheme="minorHAnsi" w:hAnsiTheme="minorHAnsi" w:cstheme="minorHAnsi"/>
                <w:b/>
                <w:bCs/>
                <w:sz w:val="20"/>
              </w:rPr>
              <w:t xml:space="preserve">(2.a) </w:t>
            </w:r>
            <w:r w:rsidR="00BC395D" w:rsidRPr="00151F84">
              <w:rPr>
                <w:rFonts w:asciiTheme="minorHAnsi" w:hAnsiTheme="minorHAnsi" w:cstheme="minorHAnsi"/>
                <w:b/>
                <w:bCs/>
                <w:sz w:val="20"/>
              </w:rPr>
              <w:t>(erityiset henkilötietoryhmät)</w:t>
            </w:r>
            <w:r w:rsidR="00151F84" w:rsidRPr="00151F84">
              <w:rPr>
                <w:rFonts w:asciiTheme="minorHAnsi" w:hAnsiTheme="minorHAnsi" w:cstheme="minorHAnsi"/>
                <w:b/>
                <w:bCs/>
                <w:sz w:val="20"/>
              </w:rPr>
              <w:t xml:space="preserve"> </w:t>
            </w:r>
          </w:p>
          <w:p w14:paraId="2129FDE8" w14:textId="77777777" w:rsidR="001F7110" w:rsidRDefault="001F7110" w:rsidP="61FEA0C2">
            <w:pPr>
              <w:rPr>
                <w:rFonts w:asciiTheme="minorHAnsi" w:hAnsiTheme="minorHAnsi" w:cstheme="minorHAnsi"/>
                <w:b/>
                <w:bCs/>
                <w:sz w:val="20"/>
              </w:rPr>
            </w:pPr>
          </w:p>
          <w:p w14:paraId="33E05E73" w14:textId="33DF353F" w:rsidR="00694F65" w:rsidRPr="00DA2401" w:rsidRDefault="00694F65" w:rsidP="005A5BAC">
            <w:pPr>
              <w:rPr>
                <w:sz w:val="20"/>
              </w:rPr>
            </w:pPr>
            <w:r w:rsidRPr="00694F65">
              <w:rPr>
                <w:rFonts w:cs="Arial"/>
                <w:sz w:val="20"/>
              </w:rPr>
              <w:t xml:space="preserve">Rekisteröity voi antaa suostumuksensa sille, että hänen henkilötietojaan käsitellään yhtä tai useampaa tarkoitusta varten. Tällaisen suostumuksen on oltava vapaaehtoinen, yksilöity, tietoinen ja yksiselitteinen tahdonilmaisu, jolla rekisteröity hyväksyy henkilötietojensa käsittelyn. Suostumus </w:t>
            </w:r>
            <w:r w:rsidR="005A5BAC" w:rsidRPr="00DA2401">
              <w:rPr>
                <w:rFonts w:cs="Arial"/>
                <w:sz w:val="20"/>
              </w:rPr>
              <w:t xml:space="preserve">voidaan </w:t>
            </w:r>
            <w:r w:rsidRPr="00DA2401">
              <w:rPr>
                <w:rFonts w:cs="Arial"/>
                <w:sz w:val="20"/>
              </w:rPr>
              <w:t>peruuttaa yhtä helposti kuin sen on voinut antaa</w:t>
            </w:r>
            <w:r w:rsidR="005A5BAC" w:rsidRPr="00DA2401">
              <w:rPr>
                <w:rFonts w:cs="Arial"/>
                <w:sz w:val="20"/>
              </w:rPr>
              <w:t xml:space="preserve">, olemalla yhteydessä </w:t>
            </w:r>
            <w:r w:rsidR="005A5BAC" w:rsidRPr="00DA2401">
              <w:rPr>
                <w:sz w:val="20"/>
              </w:rPr>
              <w:t>seuraaviin henkilöihin: Riitta Sauni, 0</w:t>
            </w:r>
            <w:r w:rsidR="005A5BAC" w:rsidRPr="00DA2401">
              <w:rPr>
                <w:sz w:val="20"/>
                <w:szCs w:val="18"/>
              </w:rPr>
              <w:t xml:space="preserve">504768034, </w:t>
            </w:r>
            <w:hyperlink r:id="rId12" w:history="1">
              <w:r w:rsidR="005A5BAC" w:rsidRPr="00DA2401">
                <w:rPr>
                  <w:rStyle w:val="Hyperlink"/>
                  <w:color w:val="000000" w:themeColor="text1"/>
                  <w:sz w:val="20"/>
                  <w:szCs w:val="18"/>
                  <w:u w:val="none"/>
                </w:rPr>
                <w:t>riitta.sauni@tuni.fi</w:t>
              </w:r>
            </w:hyperlink>
            <w:r w:rsidR="005A5BAC" w:rsidRPr="00DA2401">
              <w:rPr>
                <w:rStyle w:val="Hyperlink"/>
                <w:color w:val="auto"/>
                <w:sz w:val="20"/>
                <w:szCs w:val="18"/>
                <w:u w:val="none"/>
              </w:rPr>
              <w:t xml:space="preserve"> tai Anna Siukola, 0503182474, </w:t>
            </w:r>
            <w:hyperlink r:id="rId13" w:history="1">
              <w:r w:rsidR="005A5BAC" w:rsidRPr="00DA2401">
                <w:rPr>
                  <w:rStyle w:val="Hyperlink"/>
                  <w:sz w:val="20"/>
                  <w:szCs w:val="18"/>
                </w:rPr>
                <w:t>anna.siukola@tuni.fi</w:t>
              </w:r>
            </w:hyperlink>
            <w:r w:rsidR="005A5BAC" w:rsidRPr="00DA2401">
              <w:rPr>
                <w:rStyle w:val="Hyperlink"/>
                <w:color w:val="auto"/>
                <w:sz w:val="20"/>
                <w:szCs w:val="18"/>
                <w:u w:val="none"/>
              </w:rPr>
              <w:t xml:space="preserve">. </w:t>
            </w:r>
            <w:r w:rsidR="001F7110" w:rsidRPr="00DA2401">
              <w:rPr>
                <w:rStyle w:val="Hyperlink"/>
                <w:color w:val="auto"/>
                <w:sz w:val="20"/>
                <w:szCs w:val="18"/>
                <w:u w:val="none"/>
              </w:rPr>
              <w:t xml:space="preserve">Perustetta suostumuksen perumiselle ei tarvitse esittää peruuttamisen vastaanottavalle henkilölle. </w:t>
            </w:r>
          </w:p>
          <w:p w14:paraId="51257C23" w14:textId="6FE9E42E" w:rsidR="00915DE5" w:rsidRPr="00CD317D" w:rsidRDefault="00694F65" w:rsidP="00694F65">
            <w:pPr>
              <w:pStyle w:val="NormalWeb"/>
              <w:rPr>
                <w:rFonts w:ascii="Arial" w:hAnsi="Arial" w:cs="Arial"/>
                <w:sz w:val="20"/>
                <w:szCs w:val="20"/>
              </w:rPr>
            </w:pPr>
            <w:r w:rsidRPr="00694F65">
              <w:rPr>
                <w:rFonts w:ascii="Arial" w:hAnsi="Arial" w:cs="Arial"/>
                <w:sz w:val="20"/>
                <w:szCs w:val="20"/>
              </w:rPr>
              <w:t>Rekisterinpitäjän on pystyttävä osoittamaan, että lainmukainen suostumus on olemassa</w:t>
            </w:r>
            <w:r w:rsidR="00915DE5">
              <w:rPr>
                <w:rFonts w:ascii="Arial" w:hAnsi="Arial" w:cs="Arial"/>
                <w:sz w:val="20"/>
                <w:szCs w:val="20"/>
              </w:rPr>
              <w:t>.</w:t>
            </w:r>
          </w:p>
        </w:tc>
      </w:tr>
      <w:tr w:rsidR="00EB1616" w:rsidRPr="00EB1616" w14:paraId="0025DAF7" w14:textId="77777777" w:rsidTr="395A8046">
        <w:tc>
          <w:tcPr>
            <w:tcW w:w="2446" w:type="dxa"/>
          </w:tcPr>
          <w:p w14:paraId="0A2D6B82" w14:textId="77777777" w:rsidR="00EB1616" w:rsidRPr="00EB1616" w:rsidRDefault="00EB1616" w:rsidP="00EB1616">
            <w:pPr>
              <w:rPr>
                <w:b/>
                <w:sz w:val="20"/>
              </w:rPr>
            </w:pPr>
            <w:r w:rsidRPr="00EB1616">
              <w:rPr>
                <w:b/>
                <w:sz w:val="20"/>
              </w:rPr>
              <w:lastRenderedPageBreak/>
              <w:t>7</w:t>
            </w:r>
            <w:r w:rsidRPr="00EB1616">
              <w:rPr>
                <w:b/>
                <w:sz w:val="20"/>
              </w:rPr>
              <w:br/>
              <w:t>Henkilötietoryhmät</w:t>
            </w:r>
          </w:p>
        </w:tc>
        <w:tc>
          <w:tcPr>
            <w:tcW w:w="7665" w:type="dxa"/>
          </w:tcPr>
          <w:p w14:paraId="170CA74C" w14:textId="57AD6A22" w:rsidR="00EB1616" w:rsidRPr="00CD317D" w:rsidRDefault="009B0A1D" w:rsidP="00EB1616">
            <w:pPr>
              <w:rPr>
                <w:rFonts w:cs="Arial"/>
                <w:sz w:val="20"/>
              </w:rPr>
            </w:pPr>
            <w:r w:rsidRPr="00CD317D">
              <w:rPr>
                <w:rFonts w:cs="Arial"/>
                <w:sz w:val="20"/>
              </w:rPr>
              <w:t>Tutkimusta koskeva rekisteri sisältää tutkittavasta seuraavia henkilötietoja sekä arkaluonteisia henkilötietoja:</w:t>
            </w:r>
            <w:r w:rsidR="00121338">
              <w:rPr>
                <w:rFonts w:cs="Arial"/>
                <w:sz w:val="20"/>
              </w:rPr>
              <w:t xml:space="preserve"> </w:t>
            </w:r>
          </w:p>
          <w:p w14:paraId="5B7ADBEF" w14:textId="71E642A2" w:rsidR="00FF0172" w:rsidRPr="00CD317D" w:rsidRDefault="00FF0172" w:rsidP="00EB1616">
            <w:pPr>
              <w:rPr>
                <w:rFonts w:cs="Arial"/>
                <w:sz w:val="20"/>
              </w:rPr>
            </w:pPr>
          </w:p>
          <w:p w14:paraId="20D5B0E4" w14:textId="150A8609" w:rsidR="009B1229" w:rsidRPr="00DA2401" w:rsidRDefault="005A5BAC" w:rsidP="00EB1616">
            <w:pPr>
              <w:rPr>
                <w:rFonts w:cs="Arial"/>
                <w:sz w:val="20"/>
              </w:rPr>
            </w:pPr>
            <w:r w:rsidRPr="00DA2401">
              <w:rPr>
                <w:rFonts w:cs="Arial"/>
                <w:sz w:val="20"/>
              </w:rPr>
              <w:t xml:space="preserve">Kyselyihin vastaavien </w:t>
            </w:r>
            <w:r w:rsidR="006C6B5B" w:rsidRPr="00DA2401">
              <w:rPr>
                <w:rFonts w:cs="Arial"/>
                <w:sz w:val="20"/>
              </w:rPr>
              <w:t>ja haastat</w:t>
            </w:r>
            <w:r w:rsidR="00E302DC" w:rsidRPr="00DA2401">
              <w:rPr>
                <w:rFonts w:cs="Arial"/>
                <w:sz w:val="20"/>
              </w:rPr>
              <w:t>eltavien</w:t>
            </w:r>
            <w:r w:rsidR="006C6B5B" w:rsidRPr="00DA2401">
              <w:rPr>
                <w:rFonts w:cs="Arial"/>
                <w:sz w:val="20"/>
              </w:rPr>
              <w:t xml:space="preserve"> </w:t>
            </w:r>
            <w:r w:rsidR="00CD317D" w:rsidRPr="00DA2401">
              <w:rPr>
                <w:rFonts w:cs="Arial"/>
                <w:sz w:val="20"/>
              </w:rPr>
              <w:t>demografiset tiedot</w:t>
            </w:r>
          </w:p>
          <w:p w14:paraId="4E456FEB" w14:textId="77777777" w:rsidR="009B1229" w:rsidRPr="00DA2401" w:rsidRDefault="009B1229" w:rsidP="00EB1616">
            <w:pPr>
              <w:rPr>
                <w:rFonts w:cs="Arial"/>
                <w:sz w:val="20"/>
              </w:rPr>
            </w:pPr>
          </w:p>
          <w:p w14:paraId="2997397D" w14:textId="47D881A0" w:rsidR="00BB2624" w:rsidRPr="00DA2401" w:rsidRDefault="00BB2624" w:rsidP="00EB1616">
            <w:pPr>
              <w:rPr>
                <w:rFonts w:cs="Arial"/>
                <w:sz w:val="20"/>
              </w:rPr>
            </w:pPr>
            <w:r w:rsidRPr="00DA2401">
              <w:rPr>
                <w:rFonts w:cs="Arial"/>
                <w:sz w:val="20"/>
              </w:rPr>
              <w:t>Työmarkkina-asema</w:t>
            </w:r>
          </w:p>
          <w:p w14:paraId="4528CAE9" w14:textId="2B76B4A9" w:rsidR="00694F65" w:rsidRPr="00DA2401" w:rsidRDefault="00694F65" w:rsidP="00694F65">
            <w:pPr>
              <w:rPr>
                <w:rFonts w:cs="Arial"/>
                <w:sz w:val="20"/>
                <w:lang w:eastAsia="en-US"/>
              </w:rPr>
            </w:pPr>
          </w:p>
          <w:p w14:paraId="03FD7331" w14:textId="32CD6BF3" w:rsidR="00BB2624" w:rsidRPr="00DA2401" w:rsidRDefault="00BB2624" w:rsidP="00694F65">
            <w:pPr>
              <w:rPr>
                <w:rFonts w:cs="Arial"/>
                <w:sz w:val="20"/>
                <w:szCs w:val="18"/>
              </w:rPr>
            </w:pPr>
            <w:r w:rsidRPr="00DA2401">
              <w:rPr>
                <w:rFonts w:cs="Arial"/>
                <w:sz w:val="20"/>
                <w:szCs w:val="18"/>
              </w:rPr>
              <w:t>Kuntoutustiedot</w:t>
            </w:r>
          </w:p>
          <w:p w14:paraId="500064CD" w14:textId="77777777" w:rsidR="00BB2624" w:rsidRPr="00DA2401" w:rsidRDefault="00BB2624" w:rsidP="00694F65">
            <w:pPr>
              <w:rPr>
                <w:rFonts w:cs="Arial"/>
                <w:sz w:val="18"/>
                <w:szCs w:val="18"/>
                <w:lang w:eastAsia="en-US"/>
              </w:rPr>
            </w:pPr>
          </w:p>
          <w:p w14:paraId="0E0286F9" w14:textId="1EBD32E8" w:rsidR="15D952C0" w:rsidRPr="00DA2401" w:rsidRDefault="15D952C0" w:rsidP="61FEA0C2">
            <w:pPr>
              <w:rPr>
                <w:rFonts w:cs="Arial"/>
                <w:sz w:val="20"/>
                <w:lang w:eastAsia="en-US"/>
              </w:rPr>
            </w:pPr>
            <w:r w:rsidRPr="00DA2401">
              <w:rPr>
                <w:rFonts w:cs="Arial"/>
                <w:sz w:val="20"/>
                <w:lang w:eastAsia="en-US"/>
              </w:rPr>
              <w:t>Perusterveydenhuollon käynnin syyt</w:t>
            </w:r>
          </w:p>
          <w:p w14:paraId="3DBB53BC" w14:textId="0B0498EB" w:rsidR="61FEA0C2" w:rsidRPr="00DA2401" w:rsidRDefault="61FEA0C2" w:rsidP="61FEA0C2">
            <w:pPr>
              <w:rPr>
                <w:rFonts w:cs="Arial"/>
                <w:sz w:val="18"/>
                <w:szCs w:val="18"/>
                <w:lang w:eastAsia="en-US"/>
              </w:rPr>
            </w:pPr>
          </w:p>
          <w:p w14:paraId="2B111653" w14:textId="5B56AC19" w:rsidR="00BB2624" w:rsidRPr="00DA2401" w:rsidRDefault="00BB2624" w:rsidP="00694F65">
            <w:pPr>
              <w:rPr>
                <w:rFonts w:cs="Arial"/>
                <w:sz w:val="20"/>
                <w:lang w:eastAsia="en-US"/>
              </w:rPr>
            </w:pPr>
            <w:r w:rsidRPr="00DA2401">
              <w:rPr>
                <w:rFonts w:cs="Arial"/>
                <w:sz w:val="20"/>
                <w:lang w:eastAsia="en-US"/>
              </w:rPr>
              <w:t>Työterveyskäyntien syyt</w:t>
            </w:r>
          </w:p>
          <w:p w14:paraId="13544B0D" w14:textId="45902002" w:rsidR="00FF0172" w:rsidRPr="00DA2401" w:rsidRDefault="00FF0172" w:rsidP="00EB1616">
            <w:pPr>
              <w:rPr>
                <w:rFonts w:cs="Arial"/>
                <w:sz w:val="20"/>
              </w:rPr>
            </w:pPr>
          </w:p>
          <w:p w14:paraId="792E4BFB" w14:textId="49232439" w:rsidR="009B0A1D" w:rsidRPr="00CD317D" w:rsidRDefault="00E302DC" w:rsidP="61FEA0C2">
            <w:pPr>
              <w:rPr>
                <w:sz w:val="20"/>
              </w:rPr>
            </w:pPr>
            <w:r w:rsidRPr="00DA2401">
              <w:rPr>
                <w:sz w:val="20"/>
              </w:rPr>
              <w:t xml:space="preserve">Tutkimusrekisterin tietosisältö ja tietolähteet on kuvattu tarkemmin kohdassa </w:t>
            </w:r>
            <w:r w:rsidR="003E09EB" w:rsidRPr="00DA2401">
              <w:rPr>
                <w:sz w:val="20"/>
              </w:rPr>
              <w:t>kahdeksan (8)</w:t>
            </w:r>
            <w:r w:rsidRPr="00DA2401">
              <w:rPr>
                <w:sz w:val="20"/>
              </w:rPr>
              <w:t>.</w:t>
            </w:r>
            <w:r w:rsidR="00433ADB" w:rsidRPr="00DA2401">
              <w:rPr>
                <w:sz w:val="20"/>
              </w:rPr>
              <w:t xml:space="preserve"> </w:t>
            </w:r>
            <w:r w:rsidRPr="00DA2401">
              <w:rPr>
                <w:sz w:val="20"/>
              </w:rPr>
              <w:t>Potilaiden kysely-, haastattelu- ja rekisteriaineistojen y</w:t>
            </w:r>
            <w:r w:rsidR="00DF3CA5" w:rsidRPr="00DA2401">
              <w:rPr>
                <w:sz w:val="20"/>
              </w:rPr>
              <w:t>hdistämi</w:t>
            </w:r>
            <w:r w:rsidR="470FCDF9" w:rsidRPr="00DA2401">
              <w:rPr>
                <w:sz w:val="20"/>
              </w:rPr>
              <w:t>s</w:t>
            </w:r>
            <w:r w:rsidR="00DF3CA5" w:rsidRPr="00DA2401">
              <w:rPr>
                <w:sz w:val="20"/>
              </w:rPr>
              <w:t>e</w:t>
            </w:r>
            <w:r w:rsidR="32F66CE8" w:rsidRPr="00DA2401">
              <w:rPr>
                <w:sz w:val="20"/>
              </w:rPr>
              <w:t>stä ja sen yhteydessä tehtävästä pseudonymisoinnista on vastuussa</w:t>
            </w:r>
            <w:r w:rsidR="00121338" w:rsidRPr="00DA2401">
              <w:rPr>
                <w:sz w:val="20"/>
              </w:rPr>
              <w:t xml:space="preserve"> sosiaali- ja terveysalan viranomainen</w:t>
            </w:r>
            <w:r w:rsidR="00DF3CA5" w:rsidRPr="00DA2401">
              <w:rPr>
                <w:sz w:val="20"/>
              </w:rPr>
              <w:t xml:space="preserve"> Findata. </w:t>
            </w:r>
          </w:p>
        </w:tc>
      </w:tr>
      <w:tr w:rsidR="00EB1616" w:rsidRPr="00EB1616" w14:paraId="11060691" w14:textId="77777777" w:rsidTr="395A8046">
        <w:tc>
          <w:tcPr>
            <w:tcW w:w="2446" w:type="dxa"/>
          </w:tcPr>
          <w:p w14:paraId="474DF618" w14:textId="77777777" w:rsidR="00EB1616" w:rsidRPr="00EB1616" w:rsidRDefault="00EB1616" w:rsidP="00EB1616">
            <w:pPr>
              <w:rPr>
                <w:b/>
                <w:sz w:val="20"/>
              </w:rPr>
            </w:pPr>
            <w:r w:rsidRPr="00EB1616">
              <w:rPr>
                <w:b/>
                <w:sz w:val="20"/>
              </w:rPr>
              <w:t>8</w:t>
            </w:r>
            <w:r w:rsidRPr="00EB1616">
              <w:rPr>
                <w:b/>
                <w:sz w:val="20"/>
              </w:rPr>
              <w:br/>
              <w:t>Tietolähteet</w:t>
            </w:r>
          </w:p>
        </w:tc>
        <w:tc>
          <w:tcPr>
            <w:tcW w:w="7665" w:type="dxa"/>
          </w:tcPr>
          <w:p w14:paraId="14E6D1B0" w14:textId="77777777" w:rsidR="00F10296" w:rsidRPr="00DA2401" w:rsidRDefault="00F10296" w:rsidP="00EB1616">
            <w:pPr>
              <w:rPr>
                <w:sz w:val="20"/>
              </w:rPr>
            </w:pPr>
          </w:p>
          <w:p w14:paraId="7606FC10" w14:textId="77777777" w:rsidR="00EB1616" w:rsidRPr="00DA2401" w:rsidRDefault="009B0A1D" w:rsidP="00EB1616">
            <w:pPr>
              <w:rPr>
                <w:sz w:val="20"/>
              </w:rPr>
            </w:pPr>
            <w:r w:rsidRPr="00DA2401">
              <w:rPr>
                <w:sz w:val="20"/>
              </w:rPr>
              <w:t>Tutkimusaiheisto kerätään seuraavilla tavoilla ja seuraavia tietolähteitä käyttäen:</w:t>
            </w:r>
          </w:p>
          <w:tbl>
            <w:tblPr>
              <w:tblpPr w:leftFromText="141" w:rightFromText="141" w:vertAnchor="page" w:horzAnchor="margin" w:tblpX="-1135" w:tblpY="1269"/>
              <w:tblW w:w="7533" w:type="dxa"/>
              <w:tblCellMar>
                <w:left w:w="0" w:type="dxa"/>
                <w:right w:w="0" w:type="dxa"/>
              </w:tblCellMar>
              <w:tblLook w:val="04A0" w:firstRow="1" w:lastRow="0" w:firstColumn="1" w:lastColumn="0" w:noHBand="0" w:noVBand="1"/>
            </w:tblPr>
            <w:tblGrid>
              <w:gridCol w:w="1418"/>
              <w:gridCol w:w="3969"/>
              <w:gridCol w:w="2126"/>
              <w:gridCol w:w="20"/>
            </w:tblGrid>
            <w:tr w:rsidR="00164A71" w:rsidRPr="00DA2401" w14:paraId="135CF685" w14:textId="77777777" w:rsidTr="06C3EA03">
              <w:trPr>
                <w:gridAfter w:val="1"/>
                <w:wAfter w:w="20" w:type="dxa"/>
                <w:trHeight w:val="283"/>
              </w:trPr>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717410FB" w14:textId="7A21BD3E" w:rsidR="00164A71" w:rsidRPr="00DA2401" w:rsidRDefault="00A620E2"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Tietolähde</w:t>
                  </w:r>
                </w:p>
              </w:tc>
              <w:tc>
                <w:tcPr>
                  <w:tcW w:w="3969" w:type="dxa"/>
                  <w:tcBorders>
                    <w:top w:val="nil"/>
                    <w:left w:val="nil"/>
                    <w:bottom w:val="single" w:sz="8" w:space="0" w:color="auto"/>
                    <w:right w:val="nil"/>
                  </w:tcBorders>
                  <w:tcMar>
                    <w:top w:w="0" w:type="dxa"/>
                    <w:left w:w="108" w:type="dxa"/>
                    <w:bottom w:w="0" w:type="dxa"/>
                    <w:right w:w="108" w:type="dxa"/>
                  </w:tcMar>
                  <w:hideMark/>
                </w:tcPr>
                <w:p w14:paraId="0CBC6778"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Haettavat tiedot / Tiedonkeruun tavoitteet</w:t>
                  </w:r>
                </w:p>
              </w:tc>
              <w:tc>
                <w:tcPr>
                  <w:tcW w:w="2126" w:type="dxa"/>
                  <w:tcBorders>
                    <w:top w:val="nil"/>
                    <w:left w:val="nil"/>
                    <w:bottom w:val="single" w:sz="8" w:space="0" w:color="auto"/>
                    <w:right w:val="nil"/>
                  </w:tcBorders>
                  <w:hideMark/>
                </w:tcPr>
                <w:p w14:paraId="32DA2ADB"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Menetelmä</w:t>
                  </w:r>
                </w:p>
              </w:tc>
            </w:tr>
            <w:tr w:rsidR="00164A71" w:rsidRPr="00DA2401" w14:paraId="4725AF71" w14:textId="77777777" w:rsidTr="06C3EA03">
              <w:trPr>
                <w:gridAfter w:val="1"/>
                <w:wAfter w:w="20" w:type="dxa"/>
                <w:trHeight w:val="277"/>
              </w:trPr>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7069FB72"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Terveyskeskushenkilökunta</w:t>
                  </w:r>
                </w:p>
              </w:tc>
              <w:tc>
                <w:tcPr>
                  <w:tcW w:w="3969" w:type="dxa"/>
                  <w:tcBorders>
                    <w:top w:val="nil"/>
                    <w:left w:val="nil"/>
                    <w:bottom w:val="single" w:sz="8" w:space="0" w:color="auto"/>
                    <w:right w:val="nil"/>
                  </w:tcBorders>
                  <w:tcMar>
                    <w:top w:w="0" w:type="dxa"/>
                    <w:left w:w="108" w:type="dxa"/>
                    <w:bottom w:w="0" w:type="dxa"/>
                    <w:right w:w="108" w:type="dxa"/>
                  </w:tcMar>
                  <w:hideMark/>
                </w:tcPr>
                <w:p w14:paraId="2CE027EC" w14:textId="77777777" w:rsidR="00164A71" w:rsidRPr="00DA2401" w:rsidRDefault="00164A71" w:rsidP="00164A71">
                  <w:pPr>
                    <w:pStyle w:val="xxmsocommenttext"/>
                    <w:rPr>
                      <w:rFonts w:asciiTheme="minorHAnsi" w:hAnsiTheme="minorHAnsi" w:cstheme="minorHAnsi"/>
                      <w:sz w:val="20"/>
                      <w:szCs w:val="20"/>
                      <w:lang w:eastAsia="en-US"/>
                    </w:rPr>
                  </w:pPr>
                  <w:r w:rsidRPr="00DA2401">
                    <w:rPr>
                      <w:rFonts w:asciiTheme="minorHAnsi" w:hAnsiTheme="minorHAnsi" w:cstheme="minorHAnsi"/>
                      <w:sz w:val="20"/>
                      <w:szCs w:val="20"/>
                      <w:lang w:eastAsia="en-US"/>
                    </w:rPr>
                    <w:t>työhön liittyvyysmerkintä -intervention vaikutukset työhön ja potilaiden ohjaukseen ​sekä asenteisiin</w:t>
                  </w:r>
                </w:p>
              </w:tc>
              <w:tc>
                <w:tcPr>
                  <w:tcW w:w="2126" w:type="dxa"/>
                  <w:tcBorders>
                    <w:top w:val="nil"/>
                    <w:left w:val="nil"/>
                    <w:bottom w:val="single" w:sz="8" w:space="0" w:color="auto"/>
                    <w:right w:val="nil"/>
                  </w:tcBorders>
                  <w:hideMark/>
                </w:tcPr>
                <w:p w14:paraId="2E68449A"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Haastattelu ennen ja</w:t>
                  </w:r>
                </w:p>
                <w:p w14:paraId="711CA6CD"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jälkeen intervention</w:t>
                  </w:r>
                </w:p>
              </w:tc>
            </w:tr>
            <w:tr w:rsidR="00164A71" w:rsidRPr="00DA2401" w14:paraId="7340032A" w14:textId="77777777" w:rsidTr="06C3EA03">
              <w:trPr>
                <w:gridAfter w:val="1"/>
                <w:wAfter w:w="20" w:type="dxa"/>
                <w:trHeight w:val="277"/>
              </w:trPr>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0BC84A0F"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Työterveyshenkilökunta</w:t>
                  </w:r>
                </w:p>
              </w:tc>
              <w:tc>
                <w:tcPr>
                  <w:tcW w:w="3969" w:type="dxa"/>
                  <w:tcBorders>
                    <w:top w:val="nil"/>
                    <w:left w:val="nil"/>
                    <w:bottom w:val="single" w:sz="8" w:space="0" w:color="auto"/>
                    <w:right w:val="nil"/>
                  </w:tcBorders>
                  <w:tcMar>
                    <w:top w:w="0" w:type="dxa"/>
                    <w:left w:w="108" w:type="dxa"/>
                    <w:bottom w:w="0" w:type="dxa"/>
                    <w:right w:w="108" w:type="dxa"/>
                  </w:tcMar>
                  <w:hideMark/>
                </w:tcPr>
                <w:p w14:paraId="1DCDEA48" w14:textId="77777777" w:rsidR="00164A71" w:rsidRPr="00DA2401" w:rsidRDefault="00164A71" w:rsidP="00164A71">
                  <w:pPr>
                    <w:pStyle w:val="xxmsocommenttext"/>
                    <w:rPr>
                      <w:rFonts w:asciiTheme="minorHAnsi" w:hAnsiTheme="minorHAnsi" w:cstheme="minorHAnsi"/>
                      <w:sz w:val="20"/>
                      <w:szCs w:val="20"/>
                      <w:lang w:eastAsia="en-US"/>
                    </w:rPr>
                  </w:pPr>
                  <w:r w:rsidRPr="00DA2401">
                    <w:rPr>
                      <w:rFonts w:asciiTheme="minorHAnsi" w:hAnsiTheme="minorHAnsi" w:cstheme="minorHAnsi"/>
                      <w:sz w:val="20"/>
                      <w:szCs w:val="20"/>
                      <w:lang w:eastAsia="en-US"/>
                    </w:rPr>
                    <w:t>työhön liittyvyysmerkinnän vaikutukset potilaiden ohjautumiseen ja potilaille suunniteltaviin jatkotoimenpiteisiin</w:t>
                  </w:r>
                </w:p>
              </w:tc>
              <w:tc>
                <w:tcPr>
                  <w:tcW w:w="2126" w:type="dxa"/>
                  <w:tcBorders>
                    <w:top w:val="nil"/>
                    <w:left w:val="nil"/>
                    <w:bottom w:val="single" w:sz="8" w:space="0" w:color="auto"/>
                    <w:right w:val="nil"/>
                  </w:tcBorders>
                  <w:hideMark/>
                </w:tcPr>
                <w:p w14:paraId="7FA194E8"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Haastattelu ennen ja</w:t>
                  </w:r>
                </w:p>
                <w:p w14:paraId="74DA96CB"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jälkeen intervention</w:t>
                  </w:r>
                </w:p>
              </w:tc>
            </w:tr>
            <w:tr w:rsidR="00164A71" w:rsidRPr="00DA2401" w14:paraId="0450A6D4" w14:textId="77777777" w:rsidTr="06C3EA03">
              <w:trPr>
                <w:gridAfter w:val="1"/>
                <w:wAfter w:w="20" w:type="dxa"/>
                <w:trHeight w:val="277"/>
              </w:trPr>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79C65066"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Työterveyshuoltoon ohjautuvat asiakkaat (työlliset)</w:t>
                  </w:r>
                </w:p>
              </w:tc>
              <w:tc>
                <w:tcPr>
                  <w:tcW w:w="3969" w:type="dxa"/>
                  <w:tcBorders>
                    <w:top w:val="nil"/>
                    <w:left w:val="nil"/>
                    <w:bottom w:val="single" w:sz="8" w:space="0" w:color="auto"/>
                    <w:right w:val="nil"/>
                  </w:tcBorders>
                  <w:tcMar>
                    <w:top w:w="0" w:type="dxa"/>
                    <w:left w:w="108" w:type="dxa"/>
                    <w:bottom w:w="0" w:type="dxa"/>
                    <w:right w:w="108" w:type="dxa"/>
                  </w:tcMar>
                  <w:hideMark/>
                </w:tcPr>
                <w:p w14:paraId="4807653F" w14:textId="5BFC0FDD" w:rsidR="00164A71" w:rsidRPr="00DA2401" w:rsidRDefault="00164A71" w:rsidP="06C3EA03">
                  <w:pPr>
                    <w:pStyle w:val="xxmsocommenttext"/>
                    <w:rPr>
                      <w:rFonts w:asciiTheme="minorHAnsi" w:hAnsiTheme="minorHAnsi" w:cstheme="minorBidi"/>
                      <w:sz w:val="20"/>
                      <w:szCs w:val="20"/>
                      <w:lang w:eastAsia="en-US"/>
                    </w:rPr>
                  </w:pPr>
                  <w:r w:rsidRPr="00DA2401">
                    <w:rPr>
                      <w:rFonts w:asciiTheme="minorHAnsi" w:hAnsiTheme="minorHAnsi" w:cstheme="minorBidi"/>
                      <w:sz w:val="20"/>
                      <w:szCs w:val="20"/>
                      <w:lang w:eastAsia="en-US"/>
                    </w:rPr>
                    <w:t>aikaisempi terveydenhuollon palveluiden käyttö, kokemus ohjautumisesta, kokemus saadusta palvelusta, työkyvyn tuen palvelupolku, työkyvyn tuen vaikutus työmarkkina-asemaan ja koettuun työkykyyn</w:t>
                  </w:r>
                  <w:r w:rsidR="2B2DAD82" w:rsidRPr="00DA2401">
                    <w:rPr>
                      <w:rFonts w:asciiTheme="minorHAnsi" w:hAnsiTheme="minorHAnsi" w:cstheme="minorBidi"/>
                      <w:sz w:val="20"/>
                      <w:szCs w:val="20"/>
                      <w:lang w:eastAsia="en-US"/>
                    </w:rPr>
                    <w:t>, siviilisääty, koulutus, ammatti, työskentely nykyisessä tehtävässä, samassa taloudessa asuvien alle 18-vuotiaiden lukumäärä,</w:t>
                  </w:r>
                </w:p>
              </w:tc>
              <w:tc>
                <w:tcPr>
                  <w:tcW w:w="2126" w:type="dxa"/>
                  <w:tcBorders>
                    <w:top w:val="nil"/>
                    <w:left w:val="nil"/>
                    <w:bottom w:val="single" w:sz="8" w:space="0" w:color="auto"/>
                    <w:right w:val="nil"/>
                  </w:tcBorders>
                  <w:hideMark/>
                </w:tcPr>
                <w:p w14:paraId="5EC3F608"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Kysely ennen ja</w:t>
                  </w:r>
                </w:p>
                <w:p w14:paraId="1EC26A13"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jälkeen intervention</w:t>
                  </w:r>
                </w:p>
              </w:tc>
            </w:tr>
            <w:tr w:rsidR="00164A71" w:rsidRPr="00DA2401" w14:paraId="31C6CBC4" w14:textId="77777777" w:rsidTr="06C3EA03">
              <w:trPr>
                <w:gridAfter w:val="1"/>
                <w:wAfter w:w="20" w:type="dxa"/>
                <w:trHeight w:val="277"/>
              </w:trPr>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251CB782" w14:textId="613C235D"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lastRenderedPageBreak/>
                    <w:t>Lähi-TOIKE asiakkaat (työttömät)</w:t>
                  </w:r>
                  <w:r w:rsidR="00A620E2" w:rsidRPr="00DA2401">
                    <w:rPr>
                      <w:rFonts w:asciiTheme="minorHAnsi" w:hAnsiTheme="minorHAnsi" w:cstheme="minorHAnsi"/>
                      <w:sz w:val="20"/>
                      <w:szCs w:val="20"/>
                      <w:lang w:eastAsia="en-US"/>
                    </w:rPr>
                    <w:t xml:space="preserve"> </w:t>
                  </w:r>
                </w:p>
              </w:tc>
              <w:tc>
                <w:tcPr>
                  <w:tcW w:w="3969" w:type="dxa"/>
                  <w:tcBorders>
                    <w:top w:val="nil"/>
                    <w:left w:val="nil"/>
                    <w:bottom w:val="single" w:sz="8" w:space="0" w:color="auto"/>
                    <w:right w:val="nil"/>
                  </w:tcBorders>
                  <w:tcMar>
                    <w:top w:w="0" w:type="dxa"/>
                    <w:left w:w="108" w:type="dxa"/>
                    <w:bottom w:w="0" w:type="dxa"/>
                    <w:right w:w="108" w:type="dxa"/>
                  </w:tcMar>
                  <w:hideMark/>
                </w:tcPr>
                <w:p w14:paraId="59B8BB4F" w14:textId="3193DCF1" w:rsidR="00164A71" w:rsidRPr="00DA2401" w:rsidRDefault="00164A71" w:rsidP="06C3EA03">
                  <w:pPr>
                    <w:pStyle w:val="xxmsocommenttext"/>
                    <w:rPr>
                      <w:rFonts w:asciiTheme="minorHAnsi" w:hAnsiTheme="minorHAnsi" w:cstheme="minorBidi"/>
                      <w:sz w:val="20"/>
                      <w:szCs w:val="20"/>
                      <w:lang w:eastAsia="en-US"/>
                    </w:rPr>
                  </w:pPr>
                  <w:r w:rsidRPr="00DA2401">
                    <w:rPr>
                      <w:rFonts w:asciiTheme="minorHAnsi" w:hAnsiTheme="minorHAnsi" w:cstheme="minorBidi"/>
                      <w:sz w:val="20"/>
                      <w:szCs w:val="20"/>
                      <w:lang w:eastAsia="en-US"/>
                    </w:rPr>
                    <w:t>aikaisempi terveydenhuollon palveluiden käyttö, kokemus ohjautumisesta, kokemus saadusta palvelusta, työkyvyn tuen palvelupolku, työkyvyn tuen vaikutus työmarkkina-asemaan ja koettuun työkykyyn</w:t>
                  </w:r>
                  <w:r w:rsidR="38BD6E62" w:rsidRPr="00DA2401">
                    <w:rPr>
                      <w:rFonts w:asciiTheme="minorHAnsi" w:hAnsiTheme="minorHAnsi" w:cstheme="minorBidi"/>
                      <w:sz w:val="20"/>
                      <w:szCs w:val="20"/>
                      <w:lang w:eastAsia="en-US"/>
                    </w:rPr>
                    <w:t>, perusterveydenhuollon osiossa kysyttävien lisäksi; sähköposti, puhelinnumero, henkilötunniste (Pihlajalinnan järjestelmästä ohjautumisen jälkeen), asuinkunta, työttömyyden kesto ja kuntoutushistoria</w:t>
                  </w:r>
                </w:p>
              </w:tc>
              <w:tc>
                <w:tcPr>
                  <w:tcW w:w="2126" w:type="dxa"/>
                  <w:tcBorders>
                    <w:top w:val="nil"/>
                    <w:left w:val="nil"/>
                    <w:bottom w:val="single" w:sz="8" w:space="0" w:color="auto"/>
                    <w:right w:val="nil"/>
                  </w:tcBorders>
                  <w:hideMark/>
                </w:tcPr>
                <w:p w14:paraId="1EF6B1AC" w14:textId="096E2F76"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Haastattelu palvelun aluksi ja lopuksi</w:t>
                  </w:r>
                </w:p>
              </w:tc>
            </w:tr>
            <w:tr w:rsidR="00164A71" w:rsidRPr="00DA2401" w14:paraId="59D9287C" w14:textId="77777777" w:rsidTr="06C3EA03">
              <w:trPr>
                <w:gridAfter w:val="1"/>
                <w:wAfter w:w="20" w:type="dxa"/>
                <w:trHeight w:val="277"/>
              </w:trPr>
              <w:tc>
                <w:tcPr>
                  <w:tcW w:w="1418" w:type="dxa"/>
                  <w:tcBorders>
                    <w:top w:val="nil"/>
                    <w:left w:val="nil"/>
                    <w:bottom w:val="single" w:sz="4" w:space="0" w:color="auto"/>
                    <w:right w:val="nil"/>
                  </w:tcBorders>
                  <w:tcMar>
                    <w:top w:w="0" w:type="dxa"/>
                    <w:left w:w="108" w:type="dxa"/>
                    <w:bottom w:w="0" w:type="dxa"/>
                    <w:right w:w="108" w:type="dxa"/>
                  </w:tcMar>
                  <w:vAlign w:val="center"/>
                  <w:hideMark/>
                </w:tcPr>
                <w:p w14:paraId="3283FA71" w14:textId="765B98A3"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Muut työterveystoimijat</w:t>
                  </w:r>
                  <w:r w:rsidR="00A620E2" w:rsidRPr="00DA2401">
                    <w:rPr>
                      <w:rFonts w:asciiTheme="minorHAnsi" w:hAnsiTheme="minorHAnsi" w:cstheme="minorHAnsi"/>
                      <w:sz w:val="20"/>
                      <w:szCs w:val="20"/>
                      <w:lang w:eastAsia="en-US"/>
                    </w:rPr>
                    <w:t xml:space="preserve"> (henkilökunta)</w:t>
                  </w:r>
                </w:p>
              </w:tc>
              <w:tc>
                <w:tcPr>
                  <w:tcW w:w="3969" w:type="dxa"/>
                  <w:tcBorders>
                    <w:top w:val="nil"/>
                    <w:left w:val="nil"/>
                    <w:bottom w:val="single" w:sz="4" w:space="0" w:color="auto"/>
                    <w:right w:val="nil"/>
                  </w:tcBorders>
                  <w:tcMar>
                    <w:top w:w="0" w:type="dxa"/>
                    <w:left w:w="108" w:type="dxa"/>
                    <w:bottom w:w="0" w:type="dxa"/>
                    <w:right w:w="108" w:type="dxa"/>
                  </w:tcMar>
                  <w:hideMark/>
                </w:tcPr>
                <w:p w14:paraId="0C2B8B88" w14:textId="312E64BB" w:rsidR="00164A71" w:rsidRPr="00DA2401" w:rsidRDefault="00164A71" w:rsidP="00164A71">
                  <w:pPr>
                    <w:pStyle w:val="xxmsocommenttext"/>
                    <w:rPr>
                      <w:rFonts w:asciiTheme="minorHAnsi" w:hAnsiTheme="minorHAnsi" w:cstheme="minorHAnsi"/>
                      <w:sz w:val="20"/>
                      <w:szCs w:val="20"/>
                      <w:lang w:eastAsia="en-US"/>
                    </w:rPr>
                  </w:pPr>
                  <w:r w:rsidRPr="00DA2401">
                    <w:rPr>
                      <w:rFonts w:asciiTheme="minorHAnsi" w:hAnsiTheme="minorHAnsi" w:cstheme="minorHAnsi"/>
                      <w:sz w:val="20"/>
                      <w:szCs w:val="20"/>
                      <w:lang w:eastAsia="en-US"/>
                    </w:rPr>
                    <w:t>intervention vaikutus työkyvyn tukea tarvitsevien asiakkaiden määrissä, intervention hyödyllisyy</w:t>
                  </w:r>
                  <w:r w:rsidR="00721769" w:rsidRPr="00DA2401">
                    <w:rPr>
                      <w:rFonts w:asciiTheme="minorHAnsi" w:hAnsiTheme="minorHAnsi" w:cstheme="minorHAnsi"/>
                      <w:sz w:val="20"/>
                      <w:szCs w:val="20"/>
                      <w:lang w:eastAsia="en-US"/>
                    </w:rPr>
                    <w:t>s, yhteistyö muiden työkyvyn tuen toimijoiden kanssa</w:t>
                  </w:r>
                </w:p>
              </w:tc>
              <w:tc>
                <w:tcPr>
                  <w:tcW w:w="2126" w:type="dxa"/>
                  <w:tcBorders>
                    <w:top w:val="nil"/>
                    <w:left w:val="nil"/>
                    <w:bottom w:val="single" w:sz="4" w:space="0" w:color="auto"/>
                    <w:right w:val="nil"/>
                  </w:tcBorders>
                  <w:hideMark/>
                </w:tcPr>
                <w:p w14:paraId="7D94A902"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Kysely</w:t>
                  </w:r>
                </w:p>
              </w:tc>
            </w:tr>
            <w:tr w:rsidR="00164A71" w:rsidRPr="00DA2401" w14:paraId="6675E8BF" w14:textId="77777777" w:rsidTr="06C3EA03">
              <w:trPr>
                <w:trHeight w:val="592"/>
              </w:trPr>
              <w:tc>
                <w:tcPr>
                  <w:tcW w:w="1418" w:type="dxa"/>
                  <w:tcBorders>
                    <w:top w:val="single" w:sz="4" w:space="0" w:color="auto"/>
                    <w:left w:val="nil"/>
                    <w:bottom w:val="single" w:sz="8" w:space="0" w:color="auto"/>
                    <w:right w:val="nil"/>
                  </w:tcBorders>
                  <w:tcMar>
                    <w:top w:w="0" w:type="dxa"/>
                    <w:left w:w="108" w:type="dxa"/>
                    <w:bottom w:w="0" w:type="dxa"/>
                    <w:right w:w="108" w:type="dxa"/>
                  </w:tcMar>
                  <w:vAlign w:val="center"/>
                  <w:hideMark/>
                </w:tcPr>
                <w:p w14:paraId="7AF30831" w14:textId="643176D2" w:rsidR="00164A71" w:rsidRPr="00DA2401" w:rsidRDefault="00A620E2"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Eläketurvakeskus</w:t>
                  </w:r>
                </w:p>
              </w:tc>
              <w:tc>
                <w:tcPr>
                  <w:tcW w:w="3969" w:type="dxa"/>
                  <w:tcBorders>
                    <w:top w:val="single" w:sz="4" w:space="0" w:color="auto"/>
                    <w:left w:val="nil"/>
                    <w:bottom w:val="single" w:sz="8" w:space="0" w:color="auto"/>
                    <w:right w:val="nil"/>
                  </w:tcBorders>
                  <w:tcMar>
                    <w:top w:w="0" w:type="dxa"/>
                    <w:left w:w="108" w:type="dxa"/>
                    <w:bottom w:w="0" w:type="dxa"/>
                    <w:right w:w="108" w:type="dxa"/>
                  </w:tcMar>
                  <w:hideMark/>
                </w:tcPr>
                <w:p w14:paraId="588E3643" w14:textId="77777777" w:rsidR="00164A71" w:rsidRPr="00DA2401" w:rsidRDefault="00164A71" w:rsidP="00164A71">
                  <w:pPr>
                    <w:pStyle w:val="xxmsocommenttext"/>
                    <w:rPr>
                      <w:rFonts w:asciiTheme="minorHAnsi" w:hAnsiTheme="minorHAnsi" w:cstheme="minorHAnsi"/>
                      <w:sz w:val="20"/>
                      <w:szCs w:val="20"/>
                      <w:lang w:eastAsia="en-US"/>
                    </w:rPr>
                  </w:pPr>
                  <w:r w:rsidRPr="00DA2401">
                    <w:rPr>
                      <w:rFonts w:asciiTheme="minorHAnsi" w:hAnsiTheme="minorHAnsi" w:cstheme="minorHAnsi"/>
                      <w:sz w:val="20"/>
                      <w:szCs w:val="20"/>
                      <w:lang w:eastAsia="en-US"/>
                    </w:rPr>
                    <w:t xml:space="preserve">alkaneet työkyvyttömyyseläkkeet, </w:t>
                  </w:r>
                  <w:proofErr w:type="spellStart"/>
                  <w:r w:rsidRPr="00DA2401">
                    <w:rPr>
                      <w:rFonts w:asciiTheme="minorHAnsi" w:hAnsiTheme="minorHAnsi" w:cstheme="minorHAnsi"/>
                      <w:sz w:val="20"/>
                      <w:szCs w:val="20"/>
                      <w:lang w:eastAsia="en-US"/>
                    </w:rPr>
                    <w:t>osatyökyvyttömyyseläkeet</w:t>
                  </w:r>
                  <w:proofErr w:type="spellEnd"/>
                  <w:r w:rsidRPr="00DA2401">
                    <w:rPr>
                      <w:rFonts w:asciiTheme="minorHAnsi" w:hAnsiTheme="minorHAnsi" w:cstheme="minorHAnsi"/>
                      <w:sz w:val="20"/>
                      <w:szCs w:val="20"/>
                      <w:lang w:eastAsia="en-US"/>
                    </w:rPr>
                    <w:t>, kuntoutustuet ja osakuntoutustuet, ammatillinen kuntoutus</w:t>
                  </w:r>
                </w:p>
              </w:tc>
              <w:tc>
                <w:tcPr>
                  <w:tcW w:w="2126" w:type="dxa"/>
                  <w:tcBorders>
                    <w:top w:val="single" w:sz="4" w:space="0" w:color="auto"/>
                    <w:left w:val="nil"/>
                    <w:bottom w:val="single" w:sz="8" w:space="0" w:color="auto"/>
                    <w:right w:val="nil"/>
                  </w:tcBorders>
                  <w:hideMark/>
                </w:tcPr>
                <w:p w14:paraId="62C488EC"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Tilastoanalyysi</w:t>
                  </w:r>
                </w:p>
              </w:tc>
              <w:tc>
                <w:tcPr>
                  <w:tcW w:w="20" w:type="dxa"/>
                  <w:tcBorders>
                    <w:top w:val="nil"/>
                    <w:left w:val="nil"/>
                    <w:bottom w:val="single" w:sz="8" w:space="0" w:color="auto"/>
                    <w:right w:val="nil"/>
                  </w:tcBorders>
                </w:tcPr>
                <w:p w14:paraId="414DF327" w14:textId="77777777" w:rsidR="00164A71" w:rsidRPr="00DA2401" w:rsidRDefault="00164A71" w:rsidP="00164A71">
                  <w:pPr>
                    <w:pStyle w:val="xxmsocommenttext"/>
                    <w:jc w:val="center"/>
                    <w:rPr>
                      <w:rFonts w:asciiTheme="minorHAnsi" w:hAnsiTheme="minorHAnsi" w:cstheme="minorHAnsi"/>
                      <w:sz w:val="20"/>
                      <w:szCs w:val="20"/>
                      <w:lang w:eastAsia="en-US"/>
                    </w:rPr>
                  </w:pPr>
                </w:p>
              </w:tc>
            </w:tr>
            <w:tr w:rsidR="00164A71" w:rsidRPr="00DA2401" w14:paraId="291D1800" w14:textId="77777777" w:rsidTr="06C3EA03">
              <w:trPr>
                <w:trHeight w:val="351"/>
              </w:trPr>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546ECF76"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Kela</w:t>
                  </w:r>
                </w:p>
              </w:tc>
              <w:tc>
                <w:tcPr>
                  <w:tcW w:w="3969" w:type="dxa"/>
                  <w:tcBorders>
                    <w:top w:val="nil"/>
                    <w:left w:val="nil"/>
                    <w:bottom w:val="single" w:sz="8" w:space="0" w:color="auto"/>
                    <w:right w:val="nil"/>
                  </w:tcBorders>
                  <w:tcMar>
                    <w:top w:w="0" w:type="dxa"/>
                    <w:left w:w="108" w:type="dxa"/>
                    <w:bottom w:w="0" w:type="dxa"/>
                    <w:right w:w="108" w:type="dxa"/>
                  </w:tcMar>
                  <w:hideMark/>
                </w:tcPr>
                <w:p w14:paraId="3A19C72C" w14:textId="77777777" w:rsidR="00164A71" w:rsidRPr="00DA2401" w:rsidRDefault="00164A71" w:rsidP="00164A71">
                  <w:pPr>
                    <w:pStyle w:val="xxmsocommenttext"/>
                    <w:rPr>
                      <w:rFonts w:asciiTheme="minorHAnsi" w:hAnsiTheme="minorHAnsi" w:cstheme="minorHAnsi"/>
                      <w:sz w:val="20"/>
                      <w:szCs w:val="20"/>
                      <w:lang w:eastAsia="en-US"/>
                    </w:rPr>
                  </w:pPr>
                  <w:r w:rsidRPr="00DA2401">
                    <w:rPr>
                      <w:rFonts w:asciiTheme="minorHAnsi" w:hAnsiTheme="minorHAnsi" w:cstheme="minorHAnsi"/>
                      <w:sz w:val="20"/>
                      <w:szCs w:val="20"/>
                      <w:lang w:eastAsia="en-US"/>
                    </w:rPr>
                    <w:t>sairauspäivärahat, lääkinnällinen kuntoutus, ammatillinen kuntoutus</w:t>
                  </w:r>
                </w:p>
              </w:tc>
              <w:tc>
                <w:tcPr>
                  <w:tcW w:w="2126" w:type="dxa"/>
                  <w:tcBorders>
                    <w:top w:val="nil"/>
                    <w:left w:val="nil"/>
                    <w:bottom w:val="single" w:sz="8" w:space="0" w:color="auto"/>
                    <w:right w:val="nil"/>
                  </w:tcBorders>
                  <w:hideMark/>
                </w:tcPr>
                <w:p w14:paraId="09FAACA4"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Tilastoanalyysi</w:t>
                  </w:r>
                </w:p>
              </w:tc>
              <w:tc>
                <w:tcPr>
                  <w:tcW w:w="20" w:type="dxa"/>
                  <w:tcBorders>
                    <w:top w:val="nil"/>
                    <w:left w:val="nil"/>
                    <w:bottom w:val="single" w:sz="8" w:space="0" w:color="auto"/>
                    <w:right w:val="nil"/>
                  </w:tcBorders>
                </w:tcPr>
                <w:p w14:paraId="3E1E3D29" w14:textId="77777777" w:rsidR="00164A71" w:rsidRPr="00DA2401" w:rsidRDefault="00164A71" w:rsidP="00164A71">
                  <w:pPr>
                    <w:pStyle w:val="xxmsocommenttext"/>
                    <w:jc w:val="center"/>
                    <w:rPr>
                      <w:rFonts w:asciiTheme="minorHAnsi" w:hAnsiTheme="minorHAnsi" w:cstheme="minorHAnsi"/>
                      <w:sz w:val="20"/>
                      <w:szCs w:val="20"/>
                      <w:lang w:eastAsia="en-US"/>
                    </w:rPr>
                  </w:pPr>
                </w:p>
              </w:tc>
            </w:tr>
            <w:tr w:rsidR="00164A71" w:rsidRPr="00DA2401" w14:paraId="3A27DD1A" w14:textId="77777777" w:rsidTr="06C3EA03">
              <w:trPr>
                <w:trHeight w:val="277"/>
              </w:trPr>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5C2E8420" w14:textId="2E5756FF" w:rsidR="00FE09DF" w:rsidRPr="00DA2401" w:rsidRDefault="00FE09DF"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TEM</w:t>
                  </w:r>
                </w:p>
              </w:tc>
              <w:tc>
                <w:tcPr>
                  <w:tcW w:w="3969" w:type="dxa"/>
                  <w:tcBorders>
                    <w:top w:val="nil"/>
                    <w:left w:val="nil"/>
                    <w:bottom w:val="single" w:sz="8" w:space="0" w:color="auto"/>
                    <w:right w:val="nil"/>
                  </w:tcBorders>
                  <w:tcMar>
                    <w:top w:w="0" w:type="dxa"/>
                    <w:left w:w="108" w:type="dxa"/>
                    <w:bottom w:w="0" w:type="dxa"/>
                    <w:right w:w="108" w:type="dxa"/>
                  </w:tcMar>
                  <w:hideMark/>
                </w:tcPr>
                <w:p w14:paraId="7F8FAE71" w14:textId="52656DD1" w:rsidR="00FE09DF" w:rsidRPr="00DA2401" w:rsidRDefault="00FE09DF" w:rsidP="00164A71">
                  <w:pPr>
                    <w:pStyle w:val="xxmsocommenttext"/>
                    <w:rPr>
                      <w:rFonts w:asciiTheme="minorHAnsi" w:hAnsiTheme="minorHAnsi" w:cstheme="minorHAnsi"/>
                      <w:sz w:val="20"/>
                      <w:szCs w:val="20"/>
                      <w:lang w:eastAsia="en-US"/>
                    </w:rPr>
                  </w:pPr>
                  <w:r w:rsidRPr="00DA2401">
                    <w:rPr>
                      <w:rFonts w:asciiTheme="minorHAnsi" w:hAnsiTheme="minorHAnsi" w:cstheme="minorHAnsi"/>
                      <w:sz w:val="20"/>
                      <w:szCs w:val="20"/>
                      <w:lang w:eastAsia="en-US"/>
                    </w:rPr>
                    <w:t>työttömyyskuukaudet</w:t>
                  </w:r>
                </w:p>
              </w:tc>
              <w:tc>
                <w:tcPr>
                  <w:tcW w:w="2126" w:type="dxa"/>
                  <w:tcBorders>
                    <w:top w:val="nil"/>
                    <w:left w:val="nil"/>
                    <w:bottom w:val="single" w:sz="8" w:space="0" w:color="auto"/>
                    <w:right w:val="nil"/>
                  </w:tcBorders>
                  <w:hideMark/>
                </w:tcPr>
                <w:p w14:paraId="462417B1" w14:textId="267BF4DF" w:rsidR="00FE09DF" w:rsidRPr="00DA2401" w:rsidRDefault="00FE09DF"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Tilastoanalyysi</w:t>
                  </w:r>
                </w:p>
              </w:tc>
              <w:tc>
                <w:tcPr>
                  <w:tcW w:w="20" w:type="dxa"/>
                  <w:tcBorders>
                    <w:top w:val="nil"/>
                    <w:left w:val="nil"/>
                    <w:bottom w:val="single" w:sz="8" w:space="0" w:color="auto"/>
                    <w:right w:val="nil"/>
                  </w:tcBorders>
                </w:tcPr>
                <w:p w14:paraId="3072AB71" w14:textId="77777777" w:rsidR="00164A71" w:rsidRPr="00DA2401" w:rsidRDefault="00164A71" w:rsidP="00164A71">
                  <w:pPr>
                    <w:pStyle w:val="xxmsocommenttext"/>
                    <w:jc w:val="center"/>
                    <w:rPr>
                      <w:rFonts w:asciiTheme="minorHAnsi" w:hAnsiTheme="minorHAnsi" w:cstheme="minorHAnsi"/>
                      <w:sz w:val="20"/>
                      <w:szCs w:val="20"/>
                      <w:lang w:eastAsia="en-US"/>
                    </w:rPr>
                  </w:pPr>
                </w:p>
              </w:tc>
            </w:tr>
            <w:tr w:rsidR="00164A71" w:rsidRPr="00DA2401" w14:paraId="33E9D745" w14:textId="77777777" w:rsidTr="06C3EA03">
              <w:trPr>
                <w:trHeight w:val="277"/>
              </w:trPr>
              <w:tc>
                <w:tcPr>
                  <w:tcW w:w="1418" w:type="dxa"/>
                  <w:tcBorders>
                    <w:top w:val="nil"/>
                    <w:left w:val="nil"/>
                    <w:bottom w:val="single" w:sz="8" w:space="0" w:color="auto"/>
                    <w:right w:val="nil"/>
                  </w:tcBorders>
                  <w:tcMar>
                    <w:top w:w="0" w:type="dxa"/>
                    <w:left w:w="108" w:type="dxa"/>
                    <w:bottom w:w="0" w:type="dxa"/>
                    <w:right w:w="108" w:type="dxa"/>
                  </w:tcMar>
                  <w:vAlign w:val="center"/>
                  <w:hideMark/>
                </w:tcPr>
                <w:p w14:paraId="2659FA20" w14:textId="12817E30"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Pihlajalinna</w:t>
                  </w:r>
                  <w:r w:rsidR="00A620E2" w:rsidRPr="00DA2401">
                    <w:rPr>
                      <w:rFonts w:asciiTheme="minorHAnsi" w:hAnsiTheme="minorHAnsi" w:cstheme="minorHAnsi"/>
                      <w:sz w:val="20"/>
                      <w:szCs w:val="20"/>
                      <w:lang w:eastAsia="en-US"/>
                    </w:rPr>
                    <w:t xml:space="preserve"> (potilasrekisteri)</w:t>
                  </w:r>
                </w:p>
              </w:tc>
              <w:tc>
                <w:tcPr>
                  <w:tcW w:w="3969" w:type="dxa"/>
                  <w:tcBorders>
                    <w:top w:val="nil"/>
                    <w:left w:val="nil"/>
                    <w:bottom w:val="single" w:sz="8" w:space="0" w:color="auto"/>
                    <w:right w:val="nil"/>
                  </w:tcBorders>
                  <w:tcMar>
                    <w:top w:w="0" w:type="dxa"/>
                    <w:left w:w="108" w:type="dxa"/>
                    <w:bottom w:w="0" w:type="dxa"/>
                    <w:right w:w="108" w:type="dxa"/>
                  </w:tcMar>
                  <w:hideMark/>
                </w:tcPr>
                <w:p w14:paraId="65E7BDD8" w14:textId="77777777" w:rsidR="00164A71" w:rsidRPr="00DA2401" w:rsidRDefault="00E23C94" w:rsidP="00164A71">
                  <w:pPr>
                    <w:pStyle w:val="xxmsocommenttext"/>
                    <w:rPr>
                      <w:rFonts w:asciiTheme="minorHAnsi" w:hAnsiTheme="minorHAnsi" w:cstheme="minorHAnsi"/>
                      <w:sz w:val="20"/>
                      <w:szCs w:val="20"/>
                      <w:lang w:eastAsia="en-US"/>
                    </w:rPr>
                  </w:pPr>
                  <w:r w:rsidRPr="00DA2401">
                    <w:rPr>
                      <w:rFonts w:asciiTheme="minorHAnsi" w:hAnsiTheme="minorHAnsi" w:cstheme="minorHAnsi"/>
                      <w:sz w:val="20"/>
                      <w:szCs w:val="20"/>
                      <w:lang w:eastAsia="en-US"/>
                    </w:rPr>
                    <w:t xml:space="preserve">työterveyshuolto: </w:t>
                  </w:r>
                  <w:r w:rsidR="00164A71" w:rsidRPr="00DA2401">
                    <w:rPr>
                      <w:rFonts w:asciiTheme="minorHAnsi" w:hAnsiTheme="minorHAnsi" w:cstheme="minorHAnsi"/>
                      <w:sz w:val="20"/>
                      <w:szCs w:val="20"/>
                      <w:lang w:eastAsia="en-US"/>
                    </w:rPr>
                    <w:t xml:space="preserve">ammatillisen kuntoutuksen aloitekäynti, osasairauspäivärahan aloitekäynti, lääkinnällisen kuntoutuksen aloitekäynti, </w:t>
                  </w:r>
                  <w:proofErr w:type="spellStart"/>
                  <w:r w:rsidR="00164A71" w:rsidRPr="00DA2401">
                    <w:rPr>
                      <w:rFonts w:asciiTheme="minorHAnsi" w:hAnsiTheme="minorHAnsi" w:cstheme="minorHAnsi"/>
                      <w:sz w:val="20"/>
                      <w:szCs w:val="20"/>
                      <w:lang w:eastAsia="en-US"/>
                    </w:rPr>
                    <w:t>työhönpaluuarvio</w:t>
                  </w:r>
                  <w:proofErr w:type="spellEnd"/>
                  <w:r w:rsidR="00164A71" w:rsidRPr="00DA2401">
                    <w:rPr>
                      <w:rFonts w:asciiTheme="minorHAnsi" w:hAnsiTheme="minorHAnsi" w:cstheme="minorHAnsi"/>
                      <w:sz w:val="20"/>
                      <w:szCs w:val="20"/>
                      <w:lang w:eastAsia="en-US"/>
                    </w:rPr>
                    <w:t>, kuntoutustarpeen arvio, osatyökykyisen seuranta, työterveysneuvottelu työnantajan kanssa ja työkykyvalmentajalla käynti</w:t>
                  </w:r>
                </w:p>
                <w:p w14:paraId="64DD62A2" w14:textId="3CA1F7D3" w:rsidR="00E23C94" w:rsidRPr="00DA2401" w:rsidRDefault="081FA3FA" w:rsidP="06C3EA03">
                  <w:pPr>
                    <w:pStyle w:val="xxmsocommenttext"/>
                    <w:rPr>
                      <w:rFonts w:asciiTheme="minorHAnsi" w:hAnsiTheme="minorHAnsi" w:cstheme="minorBidi"/>
                      <w:sz w:val="20"/>
                      <w:szCs w:val="20"/>
                      <w:lang w:eastAsia="en-US"/>
                    </w:rPr>
                  </w:pPr>
                  <w:r w:rsidRPr="00DA2401">
                    <w:rPr>
                      <w:rFonts w:asciiTheme="minorHAnsi" w:hAnsiTheme="minorHAnsi" w:cstheme="minorBidi"/>
                      <w:sz w:val="20"/>
                      <w:szCs w:val="20"/>
                      <w:lang w:eastAsia="en-US"/>
                    </w:rPr>
                    <w:t>perusterveydenhuolto:</w:t>
                  </w:r>
                  <w:r w:rsidR="30139C82" w:rsidRPr="00DA2401">
                    <w:rPr>
                      <w:rFonts w:asciiTheme="minorHAnsi" w:hAnsiTheme="minorHAnsi" w:cstheme="minorBidi"/>
                      <w:sz w:val="20"/>
                      <w:szCs w:val="20"/>
                      <w:lang w:eastAsia="en-US"/>
                    </w:rPr>
                    <w:t xml:space="preserve"> </w:t>
                  </w:r>
                  <w:r w:rsidR="1AB9EE29" w:rsidRPr="00DA2401">
                    <w:rPr>
                      <w:rFonts w:asciiTheme="minorHAnsi" w:hAnsiTheme="minorHAnsi" w:cstheme="minorBidi"/>
                      <w:sz w:val="20"/>
                      <w:szCs w:val="20"/>
                      <w:lang w:eastAsia="en-US"/>
                    </w:rPr>
                    <w:t xml:space="preserve">ikä, </w:t>
                  </w:r>
                  <w:proofErr w:type="gramStart"/>
                  <w:r w:rsidR="1AB9EE29" w:rsidRPr="00DA2401">
                    <w:rPr>
                      <w:rFonts w:asciiTheme="minorHAnsi" w:hAnsiTheme="minorHAnsi" w:cstheme="minorBidi"/>
                      <w:sz w:val="20"/>
                      <w:szCs w:val="20"/>
                      <w:lang w:eastAsia="en-US"/>
                    </w:rPr>
                    <w:t xml:space="preserve">sukupuoli,  </w:t>
                  </w:r>
                  <w:r w:rsidR="7ABADC3B" w:rsidRPr="00DA2401">
                    <w:rPr>
                      <w:rFonts w:asciiTheme="minorHAnsi" w:hAnsiTheme="minorHAnsi" w:cstheme="minorBidi"/>
                      <w:sz w:val="20"/>
                      <w:szCs w:val="20"/>
                      <w:lang w:eastAsia="en-US"/>
                    </w:rPr>
                    <w:t>diagnoosi</w:t>
                  </w:r>
                  <w:proofErr w:type="gramEnd"/>
                  <w:r w:rsidR="7ABADC3B" w:rsidRPr="00DA2401">
                    <w:rPr>
                      <w:rFonts w:asciiTheme="minorHAnsi" w:hAnsiTheme="minorHAnsi" w:cstheme="minorBidi"/>
                      <w:sz w:val="20"/>
                      <w:szCs w:val="20"/>
                      <w:lang w:eastAsia="en-US"/>
                    </w:rPr>
                    <w:t xml:space="preserve">, </w:t>
                  </w:r>
                  <w:r w:rsidR="551942B4" w:rsidRPr="00DA2401">
                    <w:rPr>
                      <w:rFonts w:asciiTheme="minorHAnsi" w:hAnsiTheme="minorHAnsi" w:cstheme="minorBidi"/>
                      <w:sz w:val="20"/>
                      <w:szCs w:val="20"/>
                      <w:lang w:eastAsia="en-US"/>
                    </w:rPr>
                    <w:t>käyntimäärä kuluvana vuonna,</w:t>
                  </w:r>
                  <w:r w:rsidR="0FF13057" w:rsidRPr="00DA2401">
                    <w:rPr>
                      <w:rFonts w:asciiTheme="minorHAnsi" w:hAnsiTheme="minorHAnsi" w:cstheme="minorBidi"/>
                      <w:sz w:val="20"/>
                      <w:szCs w:val="20"/>
                      <w:lang w:eastAsia="en-US"/>
                    </w:rPr>
                    <w:t xml:space="preserve"> työmarkkinatilanne</w:t>
                  </w:r>
                  <w:r w:rsidR="038F2ED2" w:rsidRPr="00DA2401">
                    <w:rPr>
                      <w:rFonts w:asciiTheme="minorHAnsi" w:hAnsiTheme="minorHAnsi" w:cstheme="minorBidi"/>
                      <w:sz w:val="20"/>
                      <w:szCs w:val="20"/>
                      <w:lang w:eastAsia="en-US"/>
                    </w:rPr>
                    <w:t xml:space="preserve"> ja</w:t>
                  </w:r>
                  <w:r w:rsidR="551942B4" w:rsidRPr="00DA2401">
                    <w:rPr>
                      <w:rFonts w:asciiTheme="minorHAnsi" w:hAnsiTheme="minorHAnsi" w:cstheme="minorBidi"/>
                      <w:sz w:val="20"/>
                      <w:szCs w:val="20"/>
                      <w:lang w:eastAsia="en-US"/>
                    </w:rPr>
                    <w:t xml:space="preserve"> työhön liittyvä sairaus tai työkyvyn tukitoimien tarve</w:t>
                  </w:r>
                </w:p>
              </w:tc>
              <w:tc>
                <w:tcPr>
                  <w:tcW w:w="2126" w:type="dxa"/>
                  <w:tcBorders>
                    <w:top w:val="nil"/>
                    <w:left w:val="nil"/>
                    <w:bottom w:val="single" w:sz="8" w:space="0" w:color="auto"/>
                    <w:right w:val="nil"/>
                  </w:tcBorders>
                  <w:hideMark/>
                </w:tcPr>
                <w:p w14:paraId="1C1DC5DB" w14:textId="77777777" w:rsidR="00164A71" w:rsidRPr="00DA2401" w:rsidRDefault="00164A71" w:rsidP="00164A71">
                  <w:pPr>
                    <w:pStyle w:val="xxmsocommenttext"/>
                    <w:jc w:val="center"/>
                    <w:rPr>
                      <w:rFonts w:asciiTheme="minorHAnsi" w:hAnsiTheme="minorHAnsi" w:cstheme="minorHAnsi"/>
                      <w:sz w:val="20"/>
                      <w:szCs w:val="20"/>
                      <w:lang w:eastAsia="en-US"/>
                    </w:rPr>
                  </w:pPr>
                  <w:r w:rsidRPr="00DA2401">
                    <w:rPr>
                      <w:rFonts w:asciiTheme="minorHAnsi" w:hAnsiTheme="minorHAnsi" w:cstheme="minorHAnsi"/>
                      <w:sz w:val="20"/>
                      <w:szCs w:val="20"/>
                      <w:lang w:eastAsia="en-US"/>
                    </w:rPr>
                    <w:t>Tilastoanalyysi</w:t>
                  </w:r>
                </w:p>
              </w:tc>
              <w:tc>
                <w:tcPr>
                  <w:tcW w:w="20" w:type="dxa"/>
                  <w:tcBorders>
                    <w:top w:val="nil"/>
                    <w:left w:val="nil"/>
                    <w:bottom w:val="single" w:sz="8" w:space="0" w:color="auto"/>
                    <w:right w:val="nil"/>
                  </w:tcBorders>
                </w:tcPr>
                <w:p w14:paraId="4A0B708E" w14:textId="77777777" w:rsidR="00164A71" w:rsidRPr="00DA2401" w:rsidRDefault="00164A71" w:rsidP="00164A71">
                  <w:pPr>
                    <w:pStyle w:val="xxmsocommenttext"/>
                    <w:jc w:val="center"/>
                    <w:rPr>
                      <w:rFonts w:asciiTheme="minorHAnsi" w:hAnsiTheme="minorHAnsi" w:cstheme="minorHAnsi"/>
                      <w:sz w:val="20"/>
                      <w:szCs w:val="20"/>
                      <w:lang w:eastAsia="en-US"/>
                    </w:rPr>
                  </w:pPr>
                </w:p>
              </w:tc>
            </w:tr>
          </w:tbl>
          <w:p w14:paraId="7F057FD5" w14:textId="277E59E9" w:rsidR="009B0A1D" w:rsidRPr="00DA2401" w:rsidRDefault="009B0A1D" w:rsidP="00EB1616">
            <w:pPr>
              <w:rPr>
                <w:i/>
                <w:sz w:val="20"/>
              </w:rPr>
            </w:pPr>
          </w:p>
        </w:tc>
      </w:tr>
      <w:tr w:rsidR="00EB1616" w:rsidRPr="00EB1616" w14:paraId="2D209BC4" w14:textId="77777777" w:rsidTr="395A8046">
        <w:tc>
          <w:tcPr>
            <w:tcW w:w="2446" w:type="dxa"/>
          </w:tcPr>
          <w:p w14:paraId="2F36A9A4" w14:textId="77777777" w:rsidR="00EB1616" w:rsidRPr="00EB1616" w:rsidRDefault="00EB1616" w:rsidP="00EB1616">
            <w:pPr>
              <w:rPr>
                <w:b/>
                <w:sz w:val="20"/>
              </w:rPr>
            </w:pPr>
            <w:r w:rsidRPr="00EB1616">
              <w:rPr>
                <w:b/>
                <w:sz w:val="20"/>
              </w:rPr>
              <w:lastRenderedPageBreak/>
              <w:t>9</w:t>
            </w:r>
            <w:r w:rsidRPr="00EB1616">
              <w:rPr>
                <w:b/>
                <w:sz w:val="20"/>
              </w:rPr>
              <w:br/>
              <w:t>Tietojen vastaanottajat</w:t>
            </w:r>
          </w:p>
        </w:tc>
        <w:tc>
          <w:tcPr>
            <w:tcW w:w="7665" w:type="dxa"/>
          </w:tcPr>
          <w:p w14:paraId="069966D1" w14:textId="49E2312B" w:rsidR="00EB1616" w:rsidRDefault="009B0A1D" w:rsidP="75947523">
            <w:pPr>
              <w:rPr>
                <w:sz w:val="20"/>
              </w:rPr>
            </w:pPr>
            <w:r w:rsidRPr="75947523">
              <w:rPr>
                <w:sz w:val="20"/>
              </w:rPr>
              <w:t>Henkilötietojen vastaanottajia ovat ne kolmannet osapuolet, rekisterinpitäjät sekä henkilötietojen käsittelijät, joille rekisterin sisältämiä henkilötietoja siirretään tai luovutetaan. Tietoja luovutetaan seuraaville</w:t>
            </w:r>
            <w:r w:rsidRPr="75947523">
              <w:rPr>
                <w:b/>
                <w:bCs/>
                <w:sz w:val="20"/>
              </w:rPr>
              <w:t xml:space="preserve"> </w:t>
            </w:r>
            <w:r w:rsidRPr="75947523">
              <w:rPr>
                <w:sz w:val="20"/>
              </w:rPr>
              <w:t>tahoille:</w:t>
            </w:r>
          </w:p>
          <w:p w14:paraId="460A24DC" w14:textId="77777777" w:rsidR="00FF0172" w:rsidRDefault="00FF0172" w:rsidP="00EB1616">
            <w:pPr>
              <w:rPr>
                <w:sz w:val="20"/>
              </w:rPr>
            </w:pPr>
          </w:p>
          <w:p w14:paraId="0E34E9F6" w14:textId="5020FED6" w:rsidR="00FF0172" w:rsidRDefault="00BB2624" w:rsidP="00EB1616">
            <w:pPr>
              <w:rPr>
                <w:sz w:val="20"/>
              </w:rPr>
            </w:pPr>
            <w:r>
              <w:rPr>
                <w:sz w:val="20"/>
              </w:rPr>
              <w:t>Hankkee</w:t>
            </w:r>
            <w:r w:rsidR="00D92557">
              <w:rPr>
                <w:sz w:val="20"/>
              </w:rPr>
              <w:t xml:space="preserve">n ajaksi Pihlajalinnaan </w:t>
            </w:r>
            <w:r>
              <w:rPr>
                <w:sz w:val="20"/>
              </w:rPr>
              <w:t>kokoaikaiseksi palkattava työkykykoordinaattori</w:t>
            </w:r>
            <w:r w:rsidR="00D92557">
              <w:rPr>
                <w:sz w:val="20"/>
              </w:rPr>
              <w:t xml:space="preserve">lla on pääsy perusterveydenhuollossa asioivien työttömien potilaiden sairaskertomuksiin, jotka tähän antavat suostumuksensa. Näin työkykykoordinaattori voi </w:t>
            </w:r>
            <w:proofErr w:type="spellStart"/>
            <w:r w:rsidR="00D92557">
              <w:rPr>
                <w:sz w:val="20"/>
              </w:rPr>
              <w:t>kontaktoida</w:t>
            </w:r>
            <w:proofErr w:type="spellEnd"/>
            <w:r w:rsidR="00D92557">
              <w:rPr>
                <w:sz w:val="20"/>
              </w:rPr>
              <w:t xml:space="preserve"> asiakkaita ja suunnitella heille soveltuvia jatkotoimenpiteitä. Työkykykoordinaattorille tiedot siirtyvät</w:t>
            </w:r>
            <w:r>
              <w:rPr>
                <w:sz w:val="20"/>
              </w:rPr>
              <w:t xml:space="preserve"> tietoturvallisen palvelun</w:t>
            </w:r>
            <w:r w:rsidR="00D92557">
              <w:rPr>
                <w:sz w:val="20"/>
              </w:rPr>
              <w:t xml:space="preserve"> kautta</w:t>
            </w:r>
            <w:r>
              <w:rPr>
                <w:sz w:val="20"/>
              </w:rPr>
              <w:t>, jonka</w:t>
            </w:r>
            <w:r w:rsidR="00D92557">
              <w:rPr>
                <w:sz w:val="20"/>
              </w:rPr>
              <w:t xml:space="preserve"> </w:t>
            </w:r>
            <w:r w:rsidR="00D92557" w:rsidRPr="00DA2401">
              <w:rPr>
                <w:sz w:val="20"/>
              </w:rPr>
              <w:t xml:space="preserve">toteuttaa </w:t>
            </w:r>
            <w:proofErr w:type="spellStart"/>
            <w:r w:rsidR="00D92557" w:rsidRPr="00DA2401">
              <w:rPr>
                <w:sz w:val="20"/>
              </w:rPr>
              <w:t>Mediconsult</w:t>
            </w:r>
            <w:proofErr w:type="spellEnd"/>
            <w:r w:rsidR="00D92557" w:rsidRPr="00DA2401">
              <w:rPr>
                <w:sz w:val="20"/>
              </w:rPr>
              <w:t xml:space="preserve"> Oy. Yrityksellä on entuudestaan vastuu Mänttä-Vilppulan sekä Parkanon </w:t>
            </w:r>
            <w:r w:rsidR="000A73CA" w:rsidRPr="00DA2401">
              <w:rPr>
                <w:sz w:val="20"/>
              </w:rPr>
              <w:t xml:space="preserve">perusterveydenhuollon </w:t>
            </w:r>
            <w:r w:rsidR="00D92557" w:rsidRPr="00DA2401">
              <w:rPr>
                <w:sz w:val="20"/>
              </w:rPr>
              <w:t>potilastietojärjestelmistä, ja heiltä tullaan pyytämää</w:t>
            </w:r>
            <w:r w:rsidR="00D92557">
              <w:rPr>
                <w:sz w:val="20"/>
              </w:rPr>
              <w:t>n tutkimuksen kannalta välttämättömät salassapitoasiakirjat kirjallisina.</w:t>
            </w:r>
            <w:r>
              <w:rPr>
                <w:sz w:val="20"/>
              </w:rPr>
              <w:t xml:space="preserve"> </w:t>
            </w:r>
          </w:p>
          <w:p w14:paraId="1F139DEE" w14:textId="2F2D47DC" w:rsidR="004E4C71" w:rsidRDefault="004E4C71" w:rsidP="00EB1616">
            <w:pPr>
              <w:rPr>
                <w:sz w:val="20"/>
              </w:rPr>
            </w:pPr>
          </w:p>
          <w:p w14:paraId="1F003446" w14:textId="58A84781" w:rsidR="009B0A1D" w:rsidRDefault="711E1201" w:rsidP="6652FBA9">
            <w:pPr>
              <w:rPr>
                <w:sz w:val="20"/>
              </w:rPr>
            </w:pPr>
            <w:r w:rsidRPr="6652FBA9">
              <w:rPr>
                <w:sz w:val="20"/>
              </w:rPr>
              <w:t>H</w:t>
            </w:r>
            <w:r w:rsidR="004E4C71" w:rsidRPr="6652FBA9">
              <w:rPr>
                <w:sz w:val="20"/>
              </w:rPr>
              <w:t>ankkeen aikana Pihlajalinnaan palkataan hankeasiantuntija (lääkäri). Palkattavia henkilöi</w:t>
            </w:r>
            <w:r w:rsidR="00935E74" w:rsidRPr="6652FBA9">
              <w:rPr>
                <w:sz w:val="20"/>
              </w:rPr>
              <w:t>t</w:t>
            </w:r>
            <w:r w:rsidR="004E4C71" w:rsidRPr="6652FBA9">
              <w:rPr>
                <w:sz w:val="20"/>
              </w:rPr>
              <w:t xml:space="preserve">ä </w:t>
            </w:r>
            <w:r w:rsidR="00935E74" w:rsidRPr="6652FBA9">
              <w:rPr>
                <w:sz w:val="20"/>
              </w:rPr>
              <w:t>koskevat</w:t>
            </w:r>
            <w:r w:rsidR="004E4C71" w:rsidRPr="6652FBA9">
              <w:rPr>
                <w:sz w:val="20"/>
              </w:rPr>
              <w:t xml:space="preserve"> sama</w:t>
            </w:r>
            <w:r w:rsidR="00935E74" w:rsidRPr="6652FBA9">
              <w:rPr>
                <w:sz w:val="20"/>
              </w:rPr>
              <w:t>t</w:t>
            </w:r>
            <w:r w:rsidR="004E4C71" w:rsidRPr="6652FBA9">
              <w:rPr>
                <w:sz w:val="20"/>
              </w:rPr>
              <w:t xml:space="preserve"> salassapitovelvollisuu</w:t>
            </w:r>
            <w:r w:rsidR="00935E74" w:rsidRPr="6652FBA9">
              <w:rPr>
                <w:sz w:val="20"/>
              </w:rPr>
              <w:t>det</w:t>
            </w:r>
            <w:r w:rsidR="004E4C71" w:rsidRPr="6652FBA9">
              <w:rPr>
                <w:sz w:val="20"/>
              </w:rPr>
              <w:t xml:space="preserve"> kuin mui</w:t>
            </w:r>
            <w:r w:rsidR="00935E74" w:rsidRPr="6652FBA9">
              <w:rPr>
                <w:sz w:val="20"/>
              </w:rPr>
              <w:t>t</w:t>
            </w:r>
            <w:r w:rsidR="004E4C71" w:rsidRPr="6652FBA9">
              <w:rPr>
                <w:sz w:val="20"/>
              </w:rPr>
              <w:t xml:space="preserve">akin hankkeen toteutukseen osallistuvia työntekijöitä, vaikka he jo ennestään tekevät potilastyötä Pihlajalinnassa. </w:t>
            </w:r>
            <w:r w:rsidR="00D92557" w:rsidRPr="6652FBA9">
              <w:rPr>
                <w:sz w:val="20"/>
              </w:rPr>
              <w:t>Heillä on pääsy Pihlajalinnan työterveyshuoltoon ohjautuvien perusterveydenhuollon potilaiden henkilötietoihin, jotka ovat antaneet suostumuksensa työhön liittyvyys merkinnän tekemiseen tietoihinsa. Henkilötietojen käsittely on välttämätöntä työkyvyn tuen jatkotoimenpiteiden suunnittelun ja organisoinnin kannalta Pihlajalinnassa.</w:t>
            </w:r>
          </w:p>
          <w:p w14:paraId="234B663A" w14:textId="1E9D84FB" w:rsidR="003262A2" w:rsidRDefault="003262A2" w:rsidP="6652FBA9">
            <w:pPr>
              <w:rPr>
                <w:sz w:val="20"/>
              </w:rPr>
            </w:pPr>
          </w:p>
          <w:p w14:paraId="65E213DB" w14:textId="400AE34B" w:rsidR="009B0A1D" w:rsidRPr="00CD317D" w:rsidRDefault="00D92557" w:rsidP="00EB1616">
            <w:pPr>
              <w:rPr>
                <w:sz w:val="20"/>
              </w:rPr>
            </w:pPr>
            <w:r>
              <w:rPr>
                <w:sz w:val="20"/>
              </w:rPr>
              <w:t xml:space="preserve">Lisäksi hankkeen aikana opinnäytetyötä tekevälle opiskelijalle mahdollistetaan rekisteri-, kysely- ja haastatteluaineistojen käyttö opinnäytetyössään. Opiskelijaa koskevat </w:t>
            </w:r>
            <w:r>
              <w:rPr>
                <w:sz w:val="20"/>
              </w:rPr>
              <w:lastRenderedPageBreak/>
              <w:t xml:space="preserve">samat salassapitosopimukset kuin muitakin tutkimusryhmän jäseniä, eikä hänellä ole pääsyä yksilöiviin henkilötietoihin, vaan ainoastaan ryhmätason tietoon. </w:t>
            </w:r>
          </w:p>
        </w:tc>
      </w:tr>
      <w:tr w:rsidR="00EB1616" w:rsidRPr="00EB1616" w14:paraId="7B140783" w14:textId="77777777" w:rsidTr="395A8046">
        <w:tc>
          <w:tcPr>
            <w:tcW w:w="2446" w:type="dxa"/>
          </w:tcPr>
          <w:p w14:paraId="5704748F" w14:textId="77777777" w:rsidR="00EB1616" w:rsidRPr="00EB1616" w:rsidRDefault="00EB1616" w:rsidP="00EB1616">
            <w:pPr>
              <w:rPr>
                <w:b/>
                <w:sz w:val="20"/>
              </w:rPr>
            </w:pPr>
            <w:r w:rsidRPr="00EB1616">
              <w:rPr>
                <w:b/>
                <w:sz w:val="20"/>
              </w:rPr>
              <w:lastRenderedPageBreak/>
              <w:t>10</w:t>
            </w:r>
            <w:r w:rsidRPr="00EB1616">
              <w:rPr>
                <w:b/>
                <w:sz w:val="20"/>
              </w:rPr>
              <w:br/>
              <w:t>Tietojen siirto EU:n tai ETA:n ulkopuolelle</w:t>
            </w:r>
          </w:p>
        </w:tc>
        <w:tc>
          <w:tcPr>
            <w:tcW w:w="7665" w:type="dxa"/>
          </w:tcPr>
          <w:p w14:paraId="514910BD" w14:textId="5A7E3A72" w:rsidR="00EB1616" w:rsidRPr="00DA2401" w:rsidRDefault="00935E74" w:rsidP="007404D1">
            <w:pPr>
              <w:rPr>
                <w:sz w:val="20"/>
              </w:rPr>
            </w:pPr>
            <w:r w:rsidRPr="00DA2401">
              <w:rPr>
                <w:sz w:val="20"/>
              </w:rPr>
              <w:t>Tietoja ei siirretä EU:n tai ETA:n ulkopuolelle.</w:t>
            </w:r>
            <w:r w:rsidR="00D257F8" w:rsidRPr="00DA2401">
              <w:rPr>
                <w:sz w:val="20"/>
              </w:rPr>
              <w:t xml:space="preserve"> </w:t>
            </w:r>
            <w:r w:rsidR="006170F5" w:rsidRPr="00DA2401">
              <w:rPr>
                <w:sz w:val="20"/>
              </w:rPr>
              <w:t xml:space="preserve">Kansainvälisten julkaisujen myötä </w:t>
            </w:r>
            <w:r w:rsidR="00A122CD" w:rsidRPr="00DA2401">
              <w:rPr>
                <w:sz w:val="20"/>
              </w:rPr>
              <w:t xml:space="preserve">tieto tutkimuksesta </w:t>
            </w:r>
            <w:r w:rsidR="00926787" w:rsidRPr="00DA2401">
              <w:rPr>
                <w:sz w:val="20"/>
              </w:rPr>
              <w:t>on saatavissa maailmanlaajuisesti, mutta julkaisut eivät sisällä henkilötasoista tietoa</w:t>
            </w:r>
            <w:r w:rsidR="00A45490" w:rsidRPr="00DA2401">
              <w:rPr>
                <w:sz w:val="20"/>
              </w:rPr>
              <w:t>.</w:t>
            </w:r>
          </w:p>
        </w:tc>
      </w:tr>
      <w:tr w:rsidR="00EB1616" w:rsidRPr="00EB1616" w14:paraId="1580215B" w14:textId="77777777" w:rsidTr="395A8046">
        <w:tc>
          <w:tcPr>
            <w:tcW w:w="2446" w:type="dxa"/>
          </w:tcPr>
          <w:p w14:paraId="4A711929" w14:textId="77777777" w:rsidR="00EB1616" w:rsidRPr="00EB1616" w:rsidRDefault="00EB1616" w:rsidP="00EB1616">
            <w:pPr>
              <w:rPr>
                <w:b/>
                <w:sz w:val="20"/>
              </w:rPr>
            </w:pPr>
            <w:r w:rsidRPr="00EB1616">
              <w:rPr>
                <w:b/>
                <w:sz w:val="20"/>
              </w:rPr>
              <w:t>11</w:t>
            </w:r>
            <w:r w:rsidRPr="00EB1616">
              <w:rPr>
                <w:b/>
                <w:sz w:val="20"/>
              </w:rPr>
              <w:br/>
              <w:t xml:space="preserve">Henkilötietojen </w:t>
            </w:r>
            <w:r w:rsidRPr="00EB1616">
              <w:rPr>
                <w:b/>
                <w:sz w:val="20"/>
              </w:rPr>
              <w:br/>
              <w:t>säilytysaika</w:t>
            </w:r>
          </w:p>
        </w:tc>
        <w:tc>
          <w:tcPr>
            <w:tcW w:w="7665" w:type="dxa"/>
          </w:tcPr>
          <w:p w14:paraId="5D2A17C7" w14:textId="77777777" w:rsidR="00EB1616" w:rsidRPr="00DA2401" w:rsidRDefault="006C1E09" w:rsidP="00EB1616">
            <w:pPr>
              <w:rPr>
                <w:sz w:val="20"/>
              </w:rPr>
            </w:pPr>
            <w:r w:rsidRPr="00DA2401">
              <w:rPr>
                <w:sz w:val="20"/>
              </w:rPr>
              <w:t>Rekisteriin kerättyjä tietoja säilytetään ainoastaan niin kauan ja siinä laajuudessa kuin on tarpeellista suhteessa niihin alkuperäisiin tai yhteensopiviin tarkoituksiin, joihin henkilötiedot on kerätty.</w:t>
            </w:r>
          </w:p>
          <w:p w14:paraId="32DF0855" w14:textId="77777777" w:rsidR="006C1E09" w:rsidRPr="00DA2401" w:rsidRDefault="006C1E09" w:rsidP="00EB1616">
            <w:pPr>
              <w:rPr>
                <w:sz w:val="20"/>
              </w:rPr>
            </w:pPr>
          </w:p>
          <w:p w14:paraId="314F72F5" w14:textId="77777777" w:rsidR="006C1E09" w:rsidRPr="00DA2401" w:rsidRDefault="006C1E09" w:rsidP="00EB1616">
            <w:pPr>
              <w:rPr>
                <w:sz w:val="20"/>
              </w:rPr>
            </w:pPr>
            <w:r w:rsidRPr="00DA2401">
              <w:rPr>
                <w:sz w:val="20"/>
              </w:rPr>
              <w:t>Henkilötietojen kokonaissäilytysaika koostuu tutkimuksen kestosta, mahdollisista lakisääteisistä säilytysajoista ja mahdollisesta yleisen edun mukaisesta arkistoinnista.</w:t>
            </w:r>
          </w:p>
          <w:p w14:paraId="4FF9DED2" w14:textId="77777777" w:rsidR="006C1E09" w:rsidRPr="00DA2401" w:rsidRDefault="006C1E09" w:rsidP="00EB1616">
            <w:pPr>
              <w:rPr>
                <w:sz w:val="20"/>
              </w:rPr>
            </w:pPr>
          </w:p>
          <w:p w14:paraId="3FE5F282" w14:textId="77777777" w:rsidR="006C1E09" w:rsidRPr="00DA2401" w:rsidRDefault="006C1E09" w:rsidP="00EB1616">
            <w:pPr>
              <w:rPr>
                <w:sz w:val="20"/>
              </w:rPr>
            </w:pPr>
            <w:r w:rsidRPr="00DA2401">
              <w:rPr>
                <w:sz w:val="20"/>
              </w:rPr>
              <w:t xml:space="preserve">Rekisterin </w:t>
            </w:r>
            <w:r w:rsidR="0077716D" w:rsidRPr="00DA2401">
              <w:rPr>
                <w:sz w:val="20"/>
              </w:rPr>
              <w:t>henkilötietoja säilytetään seuraavien säilytysaikojen mukaisesti:</w:t>
            </w:r>
          </w:p>
          <w:p w14:paraId="7395455B" w14:textId="77777777" w:rsidR="00FF0172" w:rsidRPr="00DA2401" w:rsidRDefault="00FF0172" w:rsidP="00EB1616">
            <w:pPr>
              <w:rPr>
                <w:sz w:val="20"/>
              </w:rPr>
            </w:pPr>
          </w:p>
          <w:p w14:paraId="0D6FCFB6" w14:textId="5B36CEDC" w:rsidR="0077716D" w:rsidRPr="00DA2401" w:rsidRDefault="4A920EB9" w:rsidP="37821803">
            <w:pPr>
              <w:rPr>
                <w:sz w:val="20"/>
              </w:rPr>
            </w:pPr>
            <w:r w:rsidRPr="00DA2401">
              <w:rPr>
                <w:sz w:val="20"/>
              </w:rPr>
              <w:t>Hanke päättyy 30.9.2022.</w:t>
            </w:r>
            <w:r w:rsidR="62FF2511" w:rsidRPr="00DA2401">
              <w:rPr>
                <w:sz w:val="20"/>
              </w:rPr>
              <w:t xml:space="preserve"> </w:t>
            </w:r>
            <w:r w:rsidR="23EAB49A" w:rsidRPr="00DA2401">
              <w:rPr>
                <w:sz w:val="20"/>
              </w:rPr>
              <w:t>Työterveyshuoltoon ohjautuvien potilaiden k</w:t>
            </w:r>
            <w:r w:rsidR="7B5D5892" w:rsidRPr="00DA2401">
              <w:rPr>
                <w:sz w:val="20"/>
              </w:rPr>
              <w:t>ysely</w:t>
            </w:r>
            <w:r w:rsidR="09907751" w:rsidRPr="00DA2401">
              <w:rPr>
                <w:sz w:val="20"/>
              </w:rPr>
              <w:t xml:space="preserve">aineisto </w:t>
            </w:r>
            <w:proofErr w:type="spellStart"/>
            <w:r w:rsidR="09907751" w:rsidRPr="00DA2401">
              <w:rPr>
                <w:sz w:val="20"/>
              </w:rPr>
              <w:t>anonymisoidaan</w:t>
            </w:r>
            <w:proofErr w:type="spellEnd"/>
            <w:r w:rsidR="1B9D084D" w:rsidRPr="00DA2401">
              <w:rPr>
                <w:sz w:val="20"/>
              </w:rPr>
              <w:t xml:space="preserve"> ja tallennetaan yhteiskuntatieteelliseen tietoarkistoon</w:t>
            </w:r>
            <w:r w:rsidR="1756F33B" w:rsidRPr="00DA2401">
              <w:rPr>
                <w:sz w:val="20"/>
              </w:rPr>
              <w:t xml:space="preserve"> (FSD)</w:t>
            </w:r>
            <w:r w:rsidR="1B9D084D" w:rsidRPr="00DA2401">
              <w:rPr>
                <w:sz w:val="20"/>
              </w:rPr>
              <w:t>.</w:t>
            </w:r>
            <w:r w:rsidR="7B5D5892" w:rsidRPr="00DA2401">
              <w:rPr>
                <w:sz w:val="20"/>
              </w:rPr>
              <w:t xml:space="preserve"> </w:t>
            </w:r>
            <w:r w:rsidR="093F3174" w:rsidRPr="00DA2401">
              <w:rPr>
                <w:sz w:val="20"/>
              </w:rPr>
              <w:t xml:space="preserve">Yhdistetyt rekisteriaineistot säilytetään viisi </w:t>
            </w:r>
            <w:r w:rsidR="360AFC72" w:rsidRPr="00DA2401">
              <w:rPr>
                <w:sz w:val="20"/>
              </w:rPr>
              <w:t xml:space="preserve">(5) </w:t>
            </w:r>
            <w:r w:rsidR="093F3174" w:rsidRPr="00DA2401">
              <w:rPr>
                <w:sz w:val="20"/>
              </w:rPr>
              <w:t>vuotta</w:t>
            </w:r>
            <w:r w:rsidR="5995D40B" w:rsidRPr="00DA2401">
              <w:rPr>
                <w:sz w:val="20"/>
              </w:rPr>
              <w:t xml:space="preserve"> hankkeen päättymisen jälkeen, j</w:t>
            </w:r>
            <w:r w:rsidR="18795D5A" w:rsidRPr="00DA2401">
              <w:rPr>
                <w:sz w:val="20"/>
              </w:rPr>
              <w:t xml:space="preserve">onka jälkeen </w:t>
            </w:r>
            <w:r w:rsidR="00A77CEE" w:rsidRPr="00DA2401">
              <w:rPr>
                <w:sz w:val="20"/>
              </w:rPr>
              <w:t xml:space="preserve">yhdistetyt </w:t>
            </w:r>
            <w:r w:rsidR="18795D5A" w:rsidRPr="00DA2401">
              <w:rPr>
                <w:sz w:val="20"/>
              </w:rPr>
              <w:t xml:space="preserve">aineistot </w:t>
            </w:r>
            <w:r w:rsidR="00A77CEE" w:rsidRPr="00DA2401">
              <w:rPr>
                <w:sz w:val="20"/>
              </w:rPr>
              <w:t>ja</w:t>
            </w:r>
            <w:r w:rsidR="5995D40B" w:rsidRPr="00DA2401">
              <w:rPr>
                <w:sz w:val="20"/>
              </w:rPr>
              <w:t xml:space="preserve"> </w:t>
            </w:r>
            <w:r w:rsidR="62FF2511" w:rsidRPr="00DA2401">
              <w:rPr>
                <w:sz w:val="20"/>
              </w:rPr>
              <w:t xml:space="preserve">koodiavaimet tuhotaan. </w:t>
            </w:r>
            <w:r w:rsidR="66251E12" w:rsidRPr="00DA2401">
              <w:rPr>
                <w:sz w:val="20"/>
              </w:rPr>
              <w:t xml:space="preserve">Hankkeessa kerättävät haastatteluaineistot säilytetään </w:t>
            </w:r>
            <w:r w:rsidR="4F7541A9" w:rsidRPr="00DA2401">
              <w:rPr>
                <w:sz w:val="20"/>
              </w:rPr>
              <w:t>viisi (5) vuotta hankkeen päättymisen jälkeen</w:t>
            </w:r>
            <w:r w:rsidR="6410C34C" w:rsidRPr="00DA2401">
              <w:rPr>
                <w:sz w:val="20"/>
              </w:rPr>
              <w:t xml:space="preserve"> </w:t>
            </w:r>
            <w:proofErr w:type="spellStart"/>
            <w:proofErr w:type="gramStart"/>
            <w:r w:rsidR="6410C34C" w:rsidRPr="00DA2401">
              <w:rPr>
                <w:sz w:val="20"/>
              </w:rPr>
              <w:t>poislukien</w:t>
            </w:r>
            <w:proofErr w:type="spellEnd"/>
            <w:proofErr w:type="gramEnd"/>
            <w:r w:rsidR="6410C34C" w:rsidRPr="00DA2401">
              <w:rPr>
                <w:sz w:val="20"/>
              </w:rPr>
              <w:t xml:space="preserve"> Lähi-</w:t>
            </w:r>
            <w:proofErr w:type="spellStart"/>
            <w:r w:rsidR="6410C34C" w:rsidRPr="00DA2401">
              <w:rPr>
                <w:sz w:val="20"/>
              </w:rPr>
              <w:t>Toike</w:t>
            </w:r>
            <w:proofErr w:type="spellEnd"/>
            <w:r w:rsidR="6410C34C" w:rsidRPr="00DA2401">
              <w:rPr>
                <w:sz w:val="20"/>
              </w:rPr>
              <w:t xml:space="preserve">-toimintaan osallistuvien strukturoidut aloitus- ja lopetushaastattelut, jotka tallennetaan yhteiskuntatieteelliseen tietoarkistoon (FSD) </w:t>
            </w:r>
            <w:proofErr w:type="spellStart"/>
            <w:r w:rsidR="6410C34C" w:rsidRPr="00DA2401">
              <w:rPr>
                <w:sz w:val="20"/>
              </w:rPr>
              <w:t>anonymisoituna</w:t>
            </w:r>
            <w:proofErr w:type="spellEnd"/>
            <w:r w:rsidR="6410C34C" w:rsidRPr="00DA2401">
              <w:rPr>
                <w:sz w:val="20"/>
              </w:rPr>
              <w:t>.</w:t>
            </w:r>
            <w:r w:rsidR="59536B21" w:rsidRPr="00DA2401">
              <w:rPr>
                <w:sz w:val="20"/>
              </w:rPr>
              <w:t xml:space="preserve"> </w:t>
            </w:r>
            <w:r w:rsidR="62FF2511" w:rsidRPr="00DA2401">
              <w:rPr>
                <w:sz w:val="20"/>
              </w:rPr>
              <w:t xml:space="preserve">Tutkittavia informoidaan tiedotteissa </w:t>
            </w:r>
            <w:r w:rsidR="59536B21" w:rsidRPr="00DA2401">
              <w:rPr>
                <w:sz w:val="20"/>
              </w:rPr>
              <w:t xml:space="preserve">tietojen </w:t>
            </w:r>
            <w:r w:rsidR="62FF2511" w:rsidRPr="00DA2401">
              <w:rPr>
                <w:sz w:val="20"/>
              </w:rPr>
              <w:t>säilytyksestä ja heidän oikeudesta</w:t>
            </w:r>
            <w:r w:rsidR="5995D40B" w:rsidRPr="00DA2401">
              <w:rPr>
                <w:sz w:val="20"/>
              </w:rPr>
              <w:t>an</w:t>
            </w:r>
            <w:r w:rsidR="62FF2511" w:rsidRPr="00DA2401">
              <w:rPr>
                <w:sz w:val="20"/>
              </w:rPr>
              <w:t xml:space="preserve"> korjata, muuttaa tai tulla unohdetuksi,</w:t>
            </w:r>
            <w:r w:rsidR="050A0EB0" w:rsidRPr="00DA2401">
              <w:rPr>
                <w:sz w:val="20"/>
              </w:rPr>
              <w:t xml:space="preserve"> jättäytyä seurannan ulkopuolelle</w:t>
            </w:r>
            <w:r w:rsidR="62FF2511" w:rsidRPr="00DA2401">
              <w:rPr>
                <w:sz w:val="20"/>
              </w:rPr>
              <w:t xml:space="preserve"> sekä </w:t>
            </w:r>
            <w:r w:rsidR="0890084D" w:rsidRPr="00DA2401">
              <w:rPr>
                <w:sz w:val="20"/>
              </w:rPr>
              <w:t>näitä oikeuksi</w:t>
            </w:r>
            <w:r w:rsidR="1400C150" w:rsidRPr="00DA2401">
              <w:rPr>
                <w:sz w:val="20"/>
              </w:rPr>
              <w:t>a</w:t>
            </w:r>
            <w:r w:rsidR="62FF2511" w:rsidRPr="00DA2401">
              <w:rPr>
                <w:sz w:val="20"/>
              </w:rPr>
              <w:t xml:space="preserve"> ohjaavista juridisista säädöksistä.</w:t>
            </w:r>
          </w:p>
        </w:tc>
      </w:tr>
      <w:tr w:rsidR="00EB1616" w:rsidRPr="00EB1616" w14:paraId="6D5EB4EA" w14:textId="77777777" w:rsidTr="395A8046">
        <w:tc>
          <w:tcPr>
            <w:tcW w:w="2446" w:type="dxa"/>
          </w:tcPr>
          <w:p w14:paraId="6F8C6849" w14:textId="77777777" w:rsidR="00EB1616" w:rsidRPr="00EB1616" w:rsidRDefault="00EB1616" w:rsidP="00EB1616">
            <w:pPr>
              <w:rPr>
                <w:b/>
                <w:sz w:val="20"/>
              </w:rPr>
            </w:pPr>
            <w:r w:rsidRPr="00EB1616">
              <w:rPr>
                <w:b/>
                <w:sz w:val="20"/>
              </w:rPr>
              <w:t>12</w:t>
            </w:r>
            <w:r w:rsidRPr="00EB1616">
              <w:rPr>
                <w:b/>
                <w:sz w:val="20"/>
              </w:rPr>
              <w:br/>
              <w:t xml:space="preserve">Rekisterin suojauksen </w:t>
            </w:r>
            <w:r w:rsidRPr="00EB1616">
              <w:rPr>
                <w:b/>
                <w:sz w:val="20"/>
              </w:rPr>
              <w:br/>
              <w:t>periaatteet</w:t>
            </w:r>
          </w:p>
        </w:tc>
        <w:tc>
          <w:tcPr>
            <w:tcW w:w="7665" w:type="dxa"/>
          </w:tcPr>
          <w:p w14:paraId="2467ADDA" w14:textId="0F4CD729" w:rsidR="000B3721" w:rsidRPr="00DA2401" w:rsidRDefault="000B3721" w:rsidP="395A8046">
            <w:pPr>
              <w:rPr>
                <w:sz w:val="20"/>
              </w:rPr>
            </w:pPr>
            <w:r w:rsidRPr="00DA2401">
              <w:rPr>
                <w:sz w:val="20"/>
              </w:rPr>
              <w:t>Tutkimuksen yhteydessä kerätyt henki</w:t>
            </w:r>
            <w:r w:rsidR="009616D9" w:rsidRPr="00DA2401">
              <w:rPr>
                <w:sz w:val="20"/>
              </w:rPr>
              <w:t>l</w:t>
            </w:r>
            <w:r w:rsidRPr="00DA2401">
              <w:rPr>
                <w:sz w:val="20"/>
              </w:rPr>
              <w:t>ötiedot</w:t>
            </w:r>
            <w:r w:rsidR="009616D9" w:rsidRPr="00DA2401">
              <w:rPr>
                <w:sz w:val="20"/>
              </w:rPr>
              <w:t xml:space="preserve"> säilytetään ja käsitellään </w:t>
            </w:r>
            <w:proofErr w:type="spellStart"/>
            <w:r w:rsidR="009616D9" w:rsidRPr="00DA2401">
              <w:rPr>
                <w:sz w:val="20"/>
              </w:rPr>
              <w:t>pseudonymisoidussa</w:t>
            </w:r>
            <w:proofErr w:type="spellEnd"/>
            <w:r w:rsidR="009616D9" w:rsidRPr="00DA2401">
              <w:rPr>
                <w:sz w:val="20"/>
              </w:rPr>
              <w:t xml:space="preserve"> muodossa, tarkoittaen, että ne yksilöidään numerosarjalla nimen sijaan. Lisäksi henkilötiedot de</w:t>
            </w:r>
            <w:r w:rsidR="003218FE" w:rsidRPr="00DA2401">
              <w:rPr>
                <w:sz w:val="20"/>
              </w:rPr>
              <w:t>-</w:t>
            </w:r>
            <w:r w:rsidR="009616D9" w:rsidRPr="00DA2401">
              <w:rPr>
                <w:sz w:val="20"/>
              </w:rPr>
              <w:t>identifioidaan siten, että niistä poistetaan kaikki tarpeettomasti yksilöitävät tunnisteet.</w:t>
            </w:r>
            <w:r w:rsidR="00935E74" w:rsidRPr="00DA2401">
              <w:rPr>
                <w:sz w:val="20"/>
              </w:rPr>
              <w:t xml:space="preserve"> </w:t>
            </w:r>
            <w:r w:rsidR="00557DFC" w:rsidRPr="00DA2401">
              <w:rPr>
                <w:sz w:val="20"/>
              </w:rPr>
              <w:t>Rekisteritietojen ja kyselyaineistojen yhdistämiseksi tarvittava</w:t>
            </w:r>
            <w:r w:rsidR="00827962" w:rsidRPr="00DA2401">
              <w:rPr>
                <w:sz w:val="20"/>
              </w:rPr>
              <w:t xml:space="preserve"> henkilötunnukseen perustuva</w:t>
            </w:r>
            <w:r w:rsidR="00557DFC" w:rsidRPr="00DA2401">
              <w:rPr>
                <w:sz w:val="20"/>
              </w:rPr>
              <w:t xml:space="preserve"> koodiava</w:t>
            </w:r>
            <w:r w:rsidR="00827962" w:rsidRPr="00DA2401">
              <w:rPr>
                <w:sz w:val="20"/>
              </w:rPr>
              <w:t>in muodostetaan ja säilytetään Tampereen yliopistossa</w:t>
            </w:r>
            <w:r w:rsidR="00AC3E8E" w:rsidRPr="00DA2401">
              <w:rPr>
                <w:sz w:val="20"/>
              </w:rPr>
              <w:t>. Myös</w:t>
            </w:r>
            <w:r w:rsidR="144E760E" w:rsidRPr="00DA2401">
              <w:rPr>
                <w:sz w:val="20"/>
              </w:rPr>
              <w:t xml:space="preserve"> </w:t>
            </w:r>
            <w:r w:rsidR="00AC3E8E" w:rsidRPr="00DA2401">
              <w:rPr>
                <w:sz w:val="20"/>
              </w:rPr>
              <w:t>h</w:t>
            </w:r>
            <w:r w:rsidR="62623C7F" w:rsidRPr="00DA2401">
              <w:rPr>
                <w:sz w:val="20"/>
              </w:rPr>
              <w:t>aastattelu</w:t>
            </w:r>
            <w:r w:rsidR="00CD317D" w:rsidRPr="00DA2401">
              <w:rPr>
                <w:sz w:val="20"/>
              </w:rPr>
              <w:t xml:space="preserve">aineistojen </w:t>
            </w:r>
            <w:r w:rsidR="756789BD" w:rsidRPr="00DA2401">
              <w:rPr>
                <w:sz w:val="20"/>
              </w:rPr>
              <w:t xml:space="preserve">pseudonymisoinnista </w:t>
            </w:r>
            <w:r w:rsidR="62623C7F" w:rsidRPr="00DA2401">
              <w:rPr>
                <w:sz w:val="20"/>
              </w:rPr>
              <w:t>vastaa Tampereen yliopisto ja</w:t>
            </w:r>
            <w:r w:rsidR="00CD317D" w:rsidRPr="00DA2401">
              <w:rPr>
                <w:sz w:val="20"/>
              </w:rPr>
              <w:t xml:space="preserve"> sen</w:t>
            </w:r>
            <w:r w:rsidR="62623C7F" w:rsidRPr="00DA2401">
              <w:rPr>
                <w:sz w:val="20"/>
              </w:rPr>
              <w:t xml:space="preserve"> koodiavaimen säilyttämisestä projektipäällikkö Anna Siukola. </w:t>
            </w:r>
          </w:p>
          <w:p w14:paraId="1B3DCFE6" w14:textId="7E8351D9" w:rsidR="000B3721" w:rsidRPr="00DA2401" w:rsidRDefault="000B3721" w:rsidP="235321FB">
            <w:pPr>
              <w:rPr>
                <w:sz w:val="20"/>
              </w:rPr>
            </w:pPr>
          </w:p>
          <w:p w14:paraId="7CAE8D62" w14:textId="476E3E30" w:rsidR="000B3721" w:rsidRPr="00DA2401" w:rsidRDefault="5847C904" w:rsidP="235321FB">
            <w:pPr>
              <w:rPr>
                <w:sz w:val="20"/>
              </w:rPr>
            </w:pPr>
            <w:r w:rsidRPr="00DA2401">
              <w:rPr>
                <w:sz w:val="20"/>
              </w:rPr>
              <w:t>Kyselytutkimuksen data kertyy Tampereen yliopistolle</w:t>
            </w:r>
            <w:r w:rsidR="00DA2401" w:rsidRPr="00DA2401">
              <w:rPr>
                <w:sz w:val="20"/>
              </w:rPr>
              <w:t xml:space="preserve">, </w:t>
            </w:r>
            <w:r w:rsidR="00BF62D1" w:rsidRPr="00DA2401">
              <w:rPr>
                <w:sz w:val="20"/>
              </w:rPr>
              <w:t xml:space="preserve">jonne myös Pihlajalinnaan kertyvä </w:t>
            </w:r>
            <w:r w:rsidR="003E5C51" w:rsidRPr="00DA2401">
              <w:rPr>
                <w:sz w:val="20"/>
              </w:rPr>
              <w:t>tieto siirretään</w:t>
            </w:r>
            <w:r w:rsidR="00AC51CC" w:rsidRPr="00DA2401">
              <w:rPr>
                <w:sz w:val="20"/>
              </w:rPr>
              <w:t xml:space="preserve"> tietoturvallisuutta noudattaen</w:t>
            </w:r>
            <w:r w:rsidR="003E5C51" w:rsidRPr="00DA2401">
              <w:rPr>
                <w:sz w:val="20"/>
              </w:rPr>
              <w:t xml:space="preserve"> (Lähi-</w:t>
            </w:r>
            <w:proofErr w:type="spellStart"/>
            <w:r w:rsidR="003E5C51" w:rsidRPr="00DA2401">
              <w:rPr>
                <w:sz w:val="20"/>
              </w:rPr>
              <w:t>Toike</w:t>
            </w:r>
            <w:proofErr w:type="spellEnd"/>
            <w:r w:rsidR="003E5C51" w:rsidRPr="00DA2401">
              <w:rPr>
                <w:sz w:val="20"/>
              </w:rPr>
              <w:t xml:space="preserve">-toimintaan osallistuvien strukturoidut haastattelut, työkyvyn suunnitellut tukitoimet, </w:t>
            </w:r>
            <w:r w:rsidR="00AC51CC" w:rsidRPr="00DA2401">
              <w:rPr>
                <w:sz w:val="20"/>
              </w:rPr>
              <w:t xml:space="preserve">perusterveydenhuollosta poimittavat </w:t>
            </w:r>
            <w:r w:rsidR="002610E0" w:rsidRPr="00DA2401">
              <w:rPr>
                <w:sz w:val="20"/>
              </w:rPr>
              <w:t xml:space="preserve">tiedot (mainittu kohdassa 8) sekä työterveyshuollon </w:t>
            </w:r>
            <w:r w:rsidR="00FC33AC" w:rsidRPr="00DA2401">
              <w:rPr>
                <w:sz w:val="20"/>
              </w:rPr>
              <w:t>työkyvyn tuki- ja jatkotoimenpiteet (mainittu kohdassa 8).</w:t>
            </w:r>
            <w:r w:rsidR="00687BFA" w:rsidRPr="00DA2401">
              <w:rPr>
                <w:sz w:val="20"/>
              </w:rPr>
              <w:t xml:space="preserve"> Yliopisto toimittaa </w:t>
            </w:r>
            <w:proofErr w:type="spellStart"/>
            <w:r w:rsidR="00ED537A" w:rsidRPr="00DA2401">
              <w:rPr>
                <w:sz w:val="20"/>
              </w:rPr>
              <w:t>Findatan</w:t>
            </w:r>
            <w:proofErr w:type="spellEnd"/>
            <w:r w:rsidR="00ED537A" w:rsidRPr="00DA2401">
              <w:rPr>
                <w:sz w:val="20"/>
              </w:rPr>
              <w:t xml:space="preserve"> </w:t>
            </w:r>
            <w:r w:rsidR="004D125C" w:rsidRPr="00DA2401">
              <w:rPr>
                <w:sz w:val="20"/>
              </w:rPr>
              <w:t>ohjeita noudattaen yksilö</w:t>
            </w:r>
            <w:r w:rsidR="00F21013" w:rsidRPr="00DA2401">
              <w:rPr>
                <w:sz w:val="20"/>
              </w:rPr>
              <w:t xml:space="preserve">perusteiset </w:t>
            </w:r>
            <w:r w:rsidR="00ED537A" w:rsidRPr="00DA2401">
              <w:rPr>
                <w:sz w:val="20"/>
              </w:rPr>
              <w:t xml:space="preserve">tiedot </w:t>
            </w:r>
            <w:proofErr w:type="spellStart"/>
            <w:r w:rsidR="00ED537A" w:rsidRPr="00DA2401">
              <w:rPr>
                <w:sz w:val="20"/>
              </w:rPr>
              <w:t>Findataan</w:t>
            </w:r>
            <w:proofErr w:type="spellEnd"/>
            <w:r w:rsidR="00ED537A" w:rsidRPr="00DA2401">
              <w:rPr>
                <w:sz w:val="20"/>
              </w:rPr>
              <w:t xml:space="preserve"> rekisteriaineistojen yhdistämistä varten. </w:t>
            </w:r>
          </w:p>
          <w:p w14:paraId="4F72F385" w14:textId="77777777" w:rsidR="009616D9" w:rsidRPr="00DA2401" w:rsidRDefault="009616D9" w:rsidP="00EB1616">
            <w:pPr>
              <w:rPr>
                <w:sz w:val="20"/>
              </w:rPr>
            </w:pPr>
          </w:p>
          <w:p w14:paraId="64214FFD" w14:textId="6B5499F8" w:rsidR="009616D9" w:rsidRPr="00DA2401" w:rsidRDefault="009616D9" w:rsidP="61FEA0C2">
            <w:pPr>
              <w:rPr>
                <w:rFonts w:ascii="Calibri" w:eastAsia="Calibri" w:hAnsi="Calibri" w:cs="Calibri"/>
                <w:sz w:val="20"/>
              </w:rPr>
            </w:pPr>
            <w:r w:rsidRPr="00DA2401">
              <w:rPr>
                <w:sz w:val="20"/>
              </w:rPr>
              <w:t>Henkilötietoja sisältäviä fyysisiä aineistoja säilytetään lukituissa tiloissa, joihin on pääsy ainoastaan nimetyillä ja tehtäviensä vuoksi pääsyyn valtuutetuilla henkilöillä.</w:t>
            </w:r>
            <w:r w:rsidR="00935E74" w:rsidRPr="00DA2401">
              <w:rPr>
                <w:sz w:val="20"/>
              </w:rPr>
              <w:t xml:space="preserve"> Tilojen kulunseurannan lisäksi, fyysinen säilytys tapahtuu lukittavissa olevissa kaapeissa.</w:t>
            </w:r>
            <w:r w:rsidR="4CA3D39F" w:rsidRPr="00DA2401">
              <w:rPr>
                <w:rFonts w:ascii="Calibri" w:eastAsia="Calibri" w:hAnsi="Calibri" w:cs="Calibri"/>
                <w:sz w:val="20"/>
              </w:rPr>
              <w:t xml:space="preserve"> </w:t>
            </w:r>
            <w:r w:rsidR="4CA3D39F" w:rsidRPr="00DA2401">
              <w:rPr>
                <w:rFonts w:eastAsia="Arial" w:cs="Arial"/>
                <w:sz w:val="20"/>
              </w:rPr>
              <w:t xml:space="preserve">Sähköisessä muodossa olevia aineistoja säilytetään Tampereen yliopiston palvelimella ja pääsy aineistoon rajataan TYKYTUO-hankkeen tutkimusryhmään kuuluville henkilöille. Palvelimen tietosuojaa ja tietoturvaa päivitetään aktiivisesti ja käyttöä voidaan seurata käyttäjälokilla. Tietoja ei tallenneta missään vaiheessa kolmansien osapuolien tuottamiin palveluihin tai laitteisiin. Vastuu palvelimesta on Tampereen yliopistolla. </w:t>
            </w:r>
          </w:p>
          <w:p w14:paraId="5DFA52B8" w14:textId="77777777" w:rsidR="009616D9" w:rsidRPr="00DA2401" w:rsidRDefault="009616D9" w:rsidP="00EB1616">
            <w:pPr>
              <w:rPr>
                <w:sz w:val="20"/>
              </w:rPr>
            </w:pPr>
          </w:p>
          <w:p w14:paraId="67445866" w14:textId="27A3AA78" w:rsidR="009616D9" w:rsidRPr="00DA2401" w:rsidRDefault="2EE06C6A" w:rsidP="61FEA0C2">
            <w:pPr>
              <w:rPr>
                <w:sz w:val="20"/>
              </w:rPr>
            </w:pPr>
            <w:r w:rsidRPr="00DA2401">
              <w:rPr>
                <w:sz w:val="20"/>
              </w:rPr>
              <w:t xml:space="preserve">Etäkäytettävä </w:t>
            </w:r>
            <w:proofErr w:type="spellStart"/>
            <w:r w:rsidRPr="00DA2401">
              <w:rPr>
                <w:sz w:val="20"/>
              </w:rPr>
              <w:t>Findatan</w:t>
            </w:r>
            <w:proofErr w:type="spellEnd"/>
            <w:r w:rsidRPr="00DA2401">
              <w:rPr>
                <w:sz w:val="20"/>
              </w:rPr>
              <w:t xml:space="preserve"> tietokanta </w:t>
            </w:r>
            <w:r w:rsidR="009616D9" w:rsidRPr="00DA2401">
              <w:rPr>
                <w:sz w:val="20"/>
              </w:rPr>
              <w:t>on suojattu käyttäjätunnuksella ja salasanalla. Tietoihin ja tietojärjestelmiin pääsevät käsiksi vain ne, joilla on tietyn aineiston käyttölupa selkeästi määriteltyihin käyttötarkoituksiin. Muilla ei ole mahdollisuutta katsella, käsitellä, muuttaa tai poistaa tietoja.</w:t>
            </w:r>
          </w:p>
          <w:p w14:paraId="44002F0D" w14:textId="77777777" w:rsidR="009616D9" w:rsidRPr="00DA2401" w:rsidRDefault="009616D9" w:rsidP="00EB1616">
            <w:pPr>
              <w:rPr>
                <w:sz w:val="20"/>
              </w:rPr>
            </w:pPr>
          </w:p>
          <w:p w14:paraId="5619D213" w14:textId="77777777" w:rsidR="009616D9" w:rsidRPr="00DA2401" w:rsidRDefault="009616D9" w:rsidP="00EB1616">
            <w:pPr>
              <w:rPr>
                <w:sz w:val="20"/>
              </w:rPr>
            </w:pPr>
            <w:r w:rsidRPr="00DA2401">
              <w:rPr>
                <w:sz w:val="20"/>
              </w:rPr>
              <w:t xml:space="preserve">Tietoja käsittelevät tutkimusryhmään kuuluvat henkilöt, jotka ovat sitoutuneet noudattamaan tutkimuksen toteuttamisessa tutkimuseettisen neuvottelukunnan hyvän tieteellisen käytännön ohjeita sekä pitämään salassa kaikki tutkimuksessa käsiteltävät </w:t>
            </w:r>
            <w:r w:rsidRPr="00DA2401">
              <w:rPr>
                <w:sz w:val="20"/>
              </w:rPr>
              <w:lastRenderedPageBreak/>
              <w:t>henkilötiedot. Arkaluonteisen potilastiedon käsittelyssä on huomioitu erityisen korkea salassapitointressi.</w:t>
            </w:r>
          </w:p>
          <w:p w14:paraId="379D0044" w14:textId="77777777" w:rsidR="009616D9" w:rsidRPr="00DA2401" w:rsidRDefault="009616D9" w:rsidP="00EB1616">
            <w:pPr>
              <w:rPr>
                <w:sz w:val="20"/>
              </w:rPr>
            </w:pPr>
          </w:p>
          <w:p w14:paraId="1D1FF09F" w14:textId="77777777" w:rsidR="009616D9" w:rsidRPr="00DA2401" w:rsidRDefault="009616D9" w:rsidP="00EB1616">
            <w:pPr>
              <w:rPr>
                <w:sz w:val="20"/>
              </w:rPr>
            </w:pPr>
            <w:r w:rsidRPr="00DA2401">
              <w:rPr>
                <w:sz w:val="20"/>
              </w:rPr>
              <w:t>Tutkimusryhmien käytettäväksi annetut tiedot eristetään selkeästi omaksi kokonaisuudekseen. Pääsyä aineistoon kontrolloidaan ja valvotaan muun muassa rajoittamalla käyttöoikeuksia vain sallituille henkilöille ja keräämällä lokitietoja henkilötietojen käsittelystä.</w:t>
            </w:r>
          </w:p>
        </w:tc>
      </w:tr>
      <w:tr w:rsidR="00EB1616" w:rsidRPr="00EB1616" w14:paraId="78956CF4" w14:textId="77777777" w:rsidTr="395A8046">
        <w:tc>
          <w:tcPr>
            <w:tcW w:w="2446" w:type="dxa"/>
          </w:tcPr>
          <w:p w14:paraId="654F54D7" w14:textId="77777777" w:rsidR="00EB1616" w:rsidRPr="00EB1616" w:rsidRDefault="00EB1616" w:rsidP="00EB1616">
            <w:pPr>
              <w:rPr>
                <w:b/>
                <w:sz w:val="20"/>
              </w:rPr>
            </w:pPr>
            <w:r w:rsidRPr="00EB1616">
              <w:rPr>
                <w:b/>
                <w:sz w:val="20"/>
              </w:rPr>
              <w:lastRenderedPageBreak/>
              <w:t>13</w:t>
            </w:r>
            <w:r w:rsidRPr="00EB1616">
              <w:rPr>
                <w:b/>
                <w:sz w:val="20"/>
              </w:rPr>
              <w:br/>
              <w:t>Tutkittavan oikeudet rekisteröitynä</w:t>
            </w:r>
          </w:p>
        </w:tc>
        <w:tc>
          <w:tcPr>
            <w:tcW w:w="7665" w:type="dxa"/>
          </w:tcPr>
          <w:p w14:paraId="753AA160" w14:textId="77777777" w:rsidR="00EB1616" w:rsidRDefault="009616D9" w:rsidP="00EB1616">
            <w:pPr>
              <w:rPr>
                <w:b/>
                <w:sz w:val="20"/>
              </w:rPr>
            </w:pPr>
            <w:r w:rsidRPr="009616D9">
              <w:rPr>
                <w:b/>
                <w:sz w:val="20"/>
              </w:rPr>
              <w:t>Oikeus saada pääsy henkilötietoihin</w:t>
            </w:r>
          </w:p>
          <w:p w14:paraId="654DC7F3" w14:textId="77777777" w:rsidR="009616D9" w:rsidRDefault="009616D9" w:rsidP="00EB1616">
            <w:pPr>
              <w:rPr>
                <w:sz w:val="20"/>
              </w:rPr>
            </w:pPr>
            <w:r w:rsidRPr="009616D9">
              <w:rPr>
                <w:sz w:val="20"/>
              </w:rPr>
              <w:t>Reki</w:t>
            </w:r>
            <w:r>
              <w:rPr>
                <w:sz w:val="20"/>
              </w:rPr>
              <w:t xml:space="preserve">steröidyllä on oikeus tarkastaa, mitä häntä koskevia tietoja rekisteriin on tallennettu sekä miten ja mihin tarkoituksiin </w:t>
            </w:r>
            <w:r w:rsidR="000750BF">
              <w:rPr>
                <w:sz w:val="20"/>
              </w:rPr>
              <w:t>tietoa käytetään. Rekisterinpitäjän on pyydettäessä toimitettava jäljennös käsiteltävistä henkilötiedoista. Jäljennöksen toimittaminen ei saa vaikuttaa haitallisesti muiden oikeuksiin ja vapauksiin.</w:t>
            </w:r>
          </w:p>
          <w:p w14:paraId="73FC9AA7" w14:textId="77777777" w:rsidR="000750BF" w:rsidRDefault="000750BF" w:rsidP="00EB1616">
            <w:pPr>
              <w:rPr>
                <w:sz w:val="20"/>
              </w:rPr>
            </w:pPr>
          </w:p>
          <w:p w14:paraId="3CC5EFA8" w14:textId="77777777" w:rsidR="000750BF" w:rsidRPr="000750BF" w:rsidRDefault="000750BF" w:rsidP="00EB1616">
            <w:pPr>
              <w:rPr>
                <w:b/>
                <w:sz w:val="20"/>
              </w:rPr>
            </w:pPr>
            <w:r w:rsidRPr="000750BF">
              <w:rPr>
                <w:b/>
                <w:sz w:val="20"/>
              </w:rPr>
              <w:t>Oikeus saada virheelliset tiedot oikaistua</w:t>
            </w:r>
          </w:p>
          <w:p w14:paraId="1087C498" w14:textId="77777777" w:rsidR="000750BF" w:rsidRDefault="000750BF" w:rsidP="00EB1616">
            <w:pPr>
              <w:rPr>
                <w:sz w:val="20"/>
              </w:rPr>
            </w:pPr>
            <w:r>
              <w:rPr>
                <w:sz w:val="20"/>
              </w:rPr>
              <w:t>Rekisteröidyllä on oikeus vaatia, että rekisterinpitäjä</w:t>
            </w:r>
            <w:r w:rsidR="00B125E1">
              <w:rPr>
                <w:sz w:val="20"/>
              </w:rPr>
              <w:t xml:space="preserve"> oikaisee ilman aiheetonta viivytystä rekisteröityä koskevat epätarkat ja virheelliset henkilötiedot. Mikäli rekisteröity kiistää henkilötietojen paikkansapitävyyden, hän voi vaatia tietojen käsittelyä rajoitettavan ajaksi, jonka kuluessa rekisterinpitäjä varmistaa tietojen paikkansapitävyyden.</w:t>
            </w:r>
          </w:p>
          <w:p w14:paraId="438DB66A" w14:textId="77777777" w:rsidR="00B125E1" w:rsidRDefault="00B125E1" w:rsidP="00EB1616">
            <w:pPr>
              <w:rPr>
                <w:sz w:val="20"/>
              </w:rPr>
            </w:pPr>
          </w:p>
          <w:p w14:paraId="2E9BC704" w14:textId="77777777" w:rsidR="00B125E1" w:rsidRDefault="00B125E1" w:rsidP="00EB1616">
            <w:pPr>
              <w:rPr>
                <w:b/>
                <w:sz w:val="20"/>
              </w:rPr>
            </w:pPr>
            <w:r w:rsidRPr="00B125E1">
              <w:rPr>
                <w:b/>
                <w:sz w:val="20"/>
              </w:rPr>
              <w:t>Oikeus käsittelyn rajoittamiseen</w:t>
            </w:r>
          </w:p>
          <w:p w14:paraId="292EBB5F" w14:textId="77777777" w:rsidR="00B125E1" w:rsidRDefault="00B125E1" w:rsidP="00EB1616">
            <w:pPr>
              <w:rPr>
                <w:sz w:val="20"/>
              </w:rPr>
            </w:pPr>
            <w:r>
              <w:rPr>
                <w:sz w:val="20"/>
              </w:rPr>
              <w:t>Rekisteröidyllä on oikeus siihen, että rekisterinpitäjä rajoittaa hänen tietojensa käsittelyä. Rajoittaminen voi liittyä rekisteröidyn oikaisupyyntöön tai tilanteeseen, jossa rekisterinpitäjällä on velvollisuus poistaa tiedot, mutta tutkittava haluaakin poistamisen sijasta niiden</w:t>
            </w:r>
            <w:r w:rsidR="00A82894">
              <w:rPr>
                <w:sz w:val="20"/>
              </w:rPr>
              <w:t xml:space="preserve"> käsittelyn rajoittamista. Oikeuden tarkoitus on suojata rekisteröityä tilanteessa, jossa hänen tietojensa käsittelyn jatkaminen tai niiden poistaminen voi vaikuttaa haitallisesti hänen </w:t>
            </w:r>
            <w:proofErr w:type="gramStart"/>
            <w:r w:rsidR="00A82894">
              <w:rPr>
                <w:sz w:val="20"/>
              </w:rPr>
              <w:t>oikeuksiin</w:t>
            </w:r>
            <w:proofErr w:type="gramEnd"/>
            <w:r w:rsidR="00A82894">
              <w:rPr>
                <w:sz w:val="20"/>
              </w:rPr>
              <w:t xml:space="preserve"> ja vapauksiin. Rekisteröity voi esimerkiksi tarvita tietojansa oikeudellisen vaateen laatimiseksi, esittämiseksi tai puolustamiseksi.</w:t>
            </w:r>
          </w:p>
          <w:p w14:paraId="00D6F9F7" w14:textId="77777777" w:rsidR="00A82894" w:rsidRDefault="00A82894" w:rsidP="00EB1616">
            <w:pPr>
              <w:rPr>
                <w:sz w:val="20"/>
              </w:rPr>
            </w:pPr>
          </w:p>
          <w:p w14:paraId="52403306" w14:textId="77777777" w:rsidR="00A82894" w:rsidRDefault="00A82894" w:rsidP="00EB1616">
            <w:pPr>
              <w:rPr>
                <w:b/>
                <w:sz w:val="20"/>
              </w:rPr>
            </w:pPr>
            <w:r w:rsidRPr="00A82894">
              <w:rPr>
                <w:b/>
                <w:sz w:val="20"/>
              </w:rPr>
              <w:t>Oikeus peruuttaa suostumus</w:t>
            </w:r>
          </w:p>
          <w:p w14:paraId="03F2532A" w14:textId="77777777" w:rsidR="00A82894" w:rsidRDefault="00A82894" w:rsidP="00EB1616">
            <w:pPr>
              <w:rPr>
                <w:sz w:val="20"/>
              </w:rPr>
            </w:pPr>
            <w:r>
              <w:rPr>
                <w:sz w:val="20"/>
              </w:rPr>
              <w:t>Rekisteröidyllä on oikeus peruuttaa tutkimukseen antamansa suostumus. Peruuttamista ennen kerättyjä henkilötietoja voidaan käyttää osana tutkimusaineistoa, mikäli tämä on välttämätöntä.</w:t>
            </w:r>
          </w:p>
          <w:p w14:paraId="026D1301" w14:textId="77777777" w:rsidR="00A82894" w:rsidRDefault="00A82894" w:rsidP="00EB1616">
            <w:pPr>
              <w:rPr>
                <w:sz w:val="20"/>
              </w:rPr>
            </w:pPr>
          </w:p>
          <w:p w14:paraId="2D7ECF4D" w14:textId="77777777" w:rsidR="00A82894" w:rsidRDefault="00A82894" w:rsidP="00EB1616">
            <w:pPr>
              <w:rPr>
                <w:b/>
                <w:sz w:val="20"/>
              </w:rPr>
            </w:pPr>
            <w:r w:rsidRPr="00A82894">
              <w:rPr>
                <w:b/>
                <w:sz w:val="20"/>
              </w:rPr>
              <w:t>Oikeus tietojen poistamiseen</w:t>
            </w:r>
          </w:p>
          <w:p w14:paraId="74E390D1" w14:textId="77777777" w:rsidR="00A82894" w:rsidRDefault="00A82894" w:rsidP="00EB1616">
            <w:pPr>
              <w:rPr>
                <w:sz w:val="20"/>
              </w:rPr>
            </w:pPr>
            <w:r>
              <w:rPr>
                <w:sz w:val="20"/>
              </w:rPr>
              <w:t>Rekisteröidyllä on oikeus saada häntä koskevat henkilötiedot poistettua ilman aiheetonta viivytystä edellyttäen, että jokin seuraavista toteutuu: henkilötietoja ei enää tarvita niihin tarkoituksiin, joita varten ne kerättiin tai joita varten niitä muutoin käsiteltiin; henkilötietoja on käsitelty lain vastaisesti; tai henkilötiedot on poistettava unionin oikeuteen tai kansallisen lainsäädäntöön perustuvan lakisääteisen velvoitteen noudattamiseksi. Tieteellistä tutkimusta koskeva lainsäädäntö tuo rajoituksia tutkittavan oikeuteen</w:t>
            </w:r>
            <w:r w:rsidR="00AF2BDB">
              <w:rPr>
                <w:sz w:val="20"/>
              </w:rPr>
              <w:t xml:space="preserve"> saada tiedot poistettua. Tutkivalla taholla voi olla velvollisuuksia säilyttää henkilötietoja osana tutkimusaineistoa esimerkiksi lääkkeiden ja lääkintälaitteita koskevan kansallisen tai EU-lainsäädännön nojalla. Oikeudesta tulla unohdetuksi voidaan poiketa, kun käsittely on tarpeen tieteellisiä tutkimustarkoituksia varten ja oikeus todennäköisesti estää käsittelyn tai vaikeuttaa sitä suuresti.</w:t>
            </w:r>
          </w:p>
          <w:p w14:paraId="59379C95" w14:textId="20FC8BFD" w:rsidR="00AF2BDB" w:rsidRDefault="00AF2BDB" w:rsidP="00EB1616">
            <w:pPr>
              <w:rPr>
                <w:sz w:val="20"/>
              </w:rPr>
            </w:pPr>
          </w:p>
          <w:p w14:paraId="1393290D" w14:textId="4B09BABF" w:rsidR="00BB2624" w:rsidRDefault="00BB2624" w:rsidP="00EB1616">
            <w:pPr>
              <w:rPr>
                <w:sz w:val="20"/>
              </w:rPr>
            </w:pPr>
            <w:r>
              <w:rPr>
                <w:sz w:val="20"/>
              </w:rPr>
              <w:t>Yksittäisen henkilön oikeuden toteuttaminen vaikeuttaa tutkimustarkoitusta ainoastaan yksittäistapauksena. Oikeuden</w:t>
            </w:r>
            <w:r w:rsidR="00582400">
              <w:rPr>
                <w:sz w:val="20"/>
              </w:rPr>
              <w:t xml:space="preserve"> tai oikeuksien</w:t>
            </w:r>
            <w:r>
              <w:rPr>
                <w:sz w:val="20"/>
              </w:rPr>
              <w:t xml:space="preserve"> toteuttaminen yksilöiden tasolla ei vaikututa tutkimuksen tot</w:t>
            </w:r>
            <w:r w:rsidR="00582400">
              <w:rPr>
                <w:sz w:val="20"/>
              </w:rPr>
              <w:t>e</w:t>
            </w:r>
            <w:r>
              <w:rPr>
                <w:sz w:val="20"/>
              </w:rPr>
              <w:t>u</w:t>
            </w:r>
            <w:r w:rsidR="00582400">
              <w:rPr>
                <w:sz w:val="20"/>
              </w:rPr>
              <w:t>tu</w:t>
            </w:r>
            <w:r>
              <w:rPr>
                <w:sz w:val="20"/>
              </w:rPr>
              <w:t xml:space="preserve">kseen. </w:t>
            </w:r>
          </w:p>
          <w:p w14:paraId="4F4E1FFB" w14:textId="032DBDEC" w:rsidR="00582400" w:rsidRDefault="00582400" w:rsidP="00EB1616">
            <w:pPr>
              <w:rPr>
                <w:sz w:val="20"/>
              </w:rPr>
            </w:pPr>
          </w:p>
          <w:p w14:paraId="0CDBC321" w14:textId="37094A53" w:rsidR="00582400" w:rsidRPr="00582400" w:rsidRDefault="00582400" w:rsidP="00EB1616">
            <w:pPr>
              <w:rPr>
                <w:sz w:val="20"/>
              </w:rPr>
            </w:pPr>
            <w:r>
              <w:rPr>
                <w:sz w:val="20"/>
              </w:rPr>
              <w:t xml:space="preserve">Oikeuksien toteuttamisesta voi olla yhteydessä hankkeen seuraaviin henkilöihin: </w:t>
            </w:r>
            <w:bookmarkStart w:id="0" w:name="_Hlk39570320"/>
            <w:r>
              <w:rPr>
                <w:sz w:val="20"/>
              </w:rPr>
              <w:t>Riitta Sauni, 0</w:t>
            </w:r>
            <w:r w:rsidRPr="00164A71">
              <w:rPr>
                <w:sz w:val="20"/>
                <w:szCs w:val="18"/>
              </w:rPr>
              <w:t xml:space="preserve">504768034, </w:t>
            </w:r>
            <w:hyperlink r:id="rId14" w:history="1">
              <w:r w:rsidRPr="00103417">
                <w:rPr>
                  <w:rStyle w:val="Hyperlink"/>
                  <w:color w:val="000000" w:themeColor="text1"/>
                  <w:sz w:val="20"/>
                  <w:szCs w:val="18"/>
                  <w:u w:val="none"/>
                </w:rPr>
                <w:t>riitta.sauni@tuni.fi</w:t>
              </w:r>
            </w:hyperlink>
            <w:r w:rsidRPr="00582400">
              <w:rPr>
                <w:rStyle w:val="Hyperlink"/>
                <w:color w:val="auto"/>
                <w:sz w:val="20"/>
                <w:szCs w:val="18"/>
                <w:u w:val="none"/>
              </w:rPr>
              <w:t xml:space="preserve"> tai</w:t>
            </w:r>
            <w:r>
              <w:rPr>
                <w:rStyle w:val="Hyperlink"/>
                <w:color w:val="auto"/>
                <w:sz w:val="20"/>
                <w:szCs w:val="18"/>
                <w:u w:val="none"/>
              </w:rPr>
              <w:t xml:space="preserve"> Anna Siukola, 0503182474, anna.siukola@tuni.fi</w:t>
            </w:r>
            <w:bookmarkEnd w:id="0"/>
          </w:p>
          <w:p w14:paraId="03EB39D0" w14:textId="77777777" w:rsidR="00BB2624" w:rsidRDefault="00BB2624" w:rsidP="00EB1616">
            <w:pPr>
              <w:rPr>
                <w:sz w:val="20"/>
              </w:rPr>
            </w:pPr>
          </w:p>
          <w:p w14:paraId="32576922" w14:textId="77777777" w:rsidR="00AF2BDB" w:rsidRDefault="00AF2BDB" w:rsidP="00EB1616">
            <w:pPr>
              <w:rPr>
                <w:b/>
                <w:sz w:val="20"/>
              </w:rPr>
            </w:pPr>
            <w:r w:rsidRPr="00AF2BDB">
              <w:rPr>
                <w:b/>
                <w:sz w:val="20"/>
              </w:rPr>
              <w:t>Perustelut, miksi rekisteröidyllä ei ole oikeutta saada tietoja</w:t>
            </w:r>
          </w:p>
          <w:p w14:paraId="5E690189" w14:textId="77777777" w:rsidR="00AF2BDB" w:rsidRDefault="00AF2BDB" w:rsidP="00EB1616">
            <w:pPr>
              <w:rPr>
                <w:sz w:val="20"/>
              </w:rPr>
            </w:pPr>
            <w:r>
              <w:rPr>
                <w:sz w:val="20"/>
              </w:rPr>
              <w:t>Tietojen käsittely tapahtuu tieteellisen tutkimuksen mahdollistamiseksi, jolla voidaan katsoa olevan merkittävä yleinen etu kansanterveyden ja tieteellisen tutkimuksen nä</w:t>
            </w:r>
            <w:r>
              <w:rPr>
                <w:sz w:val="20"/>
              </w:rPr>
              <w:lastRenderedPageBreak/>
              <w:t xml:space="preserve">kökulmasta. Tietosuoja-asetuksen art. </w:t>
            </w:r>
            <w:r w:rsidR="00335E54">
              <w:rPr>
                <w:sz w:val="20"/>
              </w:rPr>
              <w:t xml:space="preserve">14(5)(b):n mukaan oikeudesta voidaan poiketa, mikäli tietojen toimittaminen aiheuttaisi kohtuutonta vaivaa ja velvollisuus oikeuksien toteuttamiseen todennäköisesti estäisi yleisen edun mukaisen tieteellisen tutkimuksen toteuttamisen. Rekisterinpitäjä noudattaa asianmukaisia suojatoimia sekä toimii parhaansa mukaan rekisteröidyn oikeuksien ja etujen suojaamiseksi. Mikäli tietoja pyydetään ulkopuoliselta toimijalta tai julkisista rekistereistä, kansallinen viranomainen toimii lupaviranomaisena, joka valvoo tietojen asianmukaista luovutusta tutkimustarkoituksiin. Rekisteröityjen tietoja käsitellään aina </w:t>
            </w:r>
            <w:proofErr w:type="spellStart"/>
            <w:r w:rsidR="00335E54">
              <w:rPr>
                <w:sz w:val="20"/>
              </w:rPr>
              <w:t>pseudonymisoituna</w:t>
            </w:r>
            <w:proofErr w:type="spellEnd"/>
            <w:r w:rsidR="00335E54">
              <w:rPr>
                <w:sz w:val="20"/>
              </w:rPr>
              <w:t xml:space="preserve"> eli salattuna, mikäli se on tutkimuksen luonne huomioiden mahdollista.</w:t>
            </w:r>
          </w:p>
          <w:p w14:paraId="7D6CC9D8" w14:textId="77777777" w:rsidR="00335E54" w:rsidRDefault="00335E54" w:rsidP="00EB1616">
            <w:pPr>
              <w:rPr>
                <w:sz w:val="20"/>
              </w:rPr>
            </w:pPr>
          </w:p>
          <w:p w14:paraId="518864F2" w14:textId="77777777" w:rsidR="00335E54" w:rsidRPr="00AF2BDB" w:rsidRDefault="00335E54" w:rsidP="00EB1616">
            <w:pPr>
              <w:rPr>
                <w:sz w:val="20"/>
              </w:rPr>
            </w:pPr>
            <w:r>
              <w:rPr>
                <w:sz w:val="20"/>
              </w:rPr>
              <w:t>Kansallisen tietosuojalain 31 §:n mukaisesti rekisteröidyn oikeudesta päästä tietoihinsa, oikaista tietonsa ja rajoitusoikeudesta voidaan poiketa lain edellytysten täyttyessä ja mikäli on tapauskohtaisesti arvioitu</w:t>
            </w:r>
            <w:r w:rsidR="009F0543">
              <w:rPr>
                <w:sz w:val="20"/>
              </w:rPr>
              <w:t xml:space="preserve"> poikkeuksen tarpeellisuus ja asianmukaisuus. Poikkeusmahdollisuus arvioidaan yksittäistapauksellisesti kunkin pyynnön yhteydessä.</w:t>
            </w:r>
          </w:p>
        </w:tc>
      </w:tr>
      <w:tr w:rsidR="00EB1616" w:rsidRPr="00EB1616" w14:paraId="62746507" w14:textId="77777777" w:rsidTr="395A8046">
        <w:tc>
          <w:tcPr>
            <w:tcW w:w="2446" w:type="dxa"/>
          </w:tcPr>
          <w:p w14:paraId="1781D311" w14:textId="77777777" w:rsidR="00EB1616" w:rsidRPr="00EB1616" w:rsidRDefault="00EB1616" w:rsidP="00EB1616">
            <w:pPr>
              <w:rPr>
                <w:b/>
                <w:sz w:val="20"/>
              </w:rPr>
            </w:pPr>
            <w:r w:rsidRPr="00EB1616">
              <w:rPr>
                <w:b/>
                <w:sz w:val="20"/>
              </w:rPr>
              <w:lastRenderedPageBreak/>
              <w:t>14</w:t>
            </w:r>
            <w:r w:rsidRPr="00EB1616">
              <w:rPr>
                <w:b/>
                <w:sz w:val="20"/>
              </w:rPr>
              <w:br/>
              <w:t>Oikeus tehdä valitus valvontaviranomaiselle</w:t>
            </w:r>
          </w:p>
        </w:tc>
        <w:tc>
          <w:tcPr>
            <w:tcW w:w="7665" w:type="dxa"/>
          </w:tcPr>
          <w:p w14:paraId="6A8AE18E" w14:textId="77777777" w:rsidR="00F10296" w:rsidRDefault="00F10296" w:rsidP="00EB1616">
            <w:pPr>
              <w:rPr>
                <w:sz w:val="20"/>
              </w:rPr>
            </w:pPr>
          </w:p>
          <w:p w14:paraId="6CFBEF22" w14:textId="77777777" w:rsidR="00EB1616" w:rsidRDefault="00F9242F" w:rsidP="00EB1616">
            <w:pPr>
              <w:rPr>
                <w:sz w:val="20"/>
              </w:rPr>
            </w:pPr>
            <w:r>
              <w:rPr>
                <w:sz w:val="20"/>
              </w:rPr>
              <w:t>Rekisteröidyllä on oikeus tehdä valitus valvontaviranomaiselle, jos rekisteröity katsoo, että häntä koskevien henkilötietojen käsittelyssä rikotaan soveltuvaa tietosuojasääntelyä. Kansallinen valvontaviranomainen on Suomessa Tietosuojavaltuutetun toimisto, yhteystiedot:</w:t>
            </w:r>
          </w:p>
          <w:p w14:paraId="1811D06F" w14:textId="77777777" w:rsidR="00F9242F" w:rsidRDefault="00F9242F" w:rsidP="00EB1616">
            <w:pPr>
              <w:rPr>
                <w:sz w:val="20"/>
              </w:rPr>
            </w:pPr>
          </w:p>
          <w:p w14:paraId="7E75E725" w14:textId="77777777" w:rsidR="00D02BE6" w:rsidRDefault="00D02BE6" w:rsidP="00D02BE6">
            <w:pPr>
              <w:rPr>
                <w:b/>
                <w:sz w:val="20"/>
              </w:rPr>
            </w:pPr>
            <w:r w:rsidRPr="00D02BE6">
              <w:rPr>
                <w:b/>
                <w:sz w:val="20"/>
              </w:rPr>
              <w:t>Tietosuojavaltuutetun toimisto</w:t>
            </w:r>
          </w:p>
          <w:p w14:paraId="0C3178D2" w14:textId="77777777" w:rsidR="00D02BE6" w:rsidRPr="00D02BE6" w:rsidRDefault="00D02BE6" w:rsidP="00D02BE6">
            <w:pPr>
              <w:rPr>
                <w:b/>
                <w:sz w:val="20"/>
              </w:rPr>
            </w:pPr>
          </w:p>
          <w:p w14:paraId="60F4C5DC" w14:textId="77777777" w:rsidR="00D02BE6" w:rsidRPr="00D02BE6" w:rsidRDefault="00D02BE6" w:rsidP="00D02BE6">
            <w:pPr>
              <w:rPr>
                <w:sz w:val="20"/>
              </w:rPr>
            </w:pPr>
            <w:r w:rsidRPr="00D02BE6">
              <w:rPr>
                <w:sz w:val="20"/>
              </w:rPr>
              <w:t>Käyntiosoite: Lintulahdenkuja 4, 00530 Helsinki</w:t>
            </w:r>
          </w:p>
          <w:p w14:paraId="29578441" w14:textId="77777777" w:rsidR="00D02BE6" w:rsidRPr="00D02BE6" w:rsidRDefault="00D02BE6" w:rsidP="00D02BE6">
            <w:pPr>
              <w:rPr>
                <w:sz w:val="20"/>
              </w:rPr>
            </w:pPr>
            <w:r w:rsidRPr="00D02BE6">
              <w:rPr>
                <w:sz w:val="20"/>
              </w:rPr>
              <w:t>Postiosoite: PL 800, 00531 Helsinki</w:t>
            </w:r>
          </w:p>
          <w:p w14:paraId="1D798AB5" w14:textId="77777777" w:rsidR="00D02BE6" w:rsidRPr="00D02BE6" w:rsidRDefault="00D02BE6" w:rsidP="00D02BE6">
            <w:pPr>
              <w:rPr>
                <w:sz w:val="20"/>
              </w:rPr>
            </w:pPr>
            <w:r w:rsidRPr="00D02BE6">
              <w:rPr>
                <w:sz w:val="20"/>
              </w:rPr>
              <w:t>Puhelinneuvonta yksityishenkilöille: 029 56 66777</w:t>
            </w:r>
          </w:p>
          <w:p w14:paraId="5ACAF41B" w14:textId="77777777" w:rsidR="00D02BE6" w:rsidRPr="00D02BE6" w:rsidRDefault="00D02BE6" w:rsidP="00D02BE6">
            <w:pPr>
              <w:rPr>
                <w:sz w:val="20"/>
              </w:rPr>
            </w:pPr>
            <w:r w:rsidRPr="00D02BE6">
              <w:rPr>
                <w:sz w:val="20"/>
              </w:rPr>
              <w:t>Puhelinvaihde: 029 566 6700</w:t>
            </w:r>
          </w:p>
          <w:p w14:paraId="37038C0C" w14:textId="77777777" w:rsidR="00D02BE6" w:rsidRPr="00D02BE6" w:rsidRDefault="00D02BE6" w:rsidP="00D02BE6">
            <w:pPr>
              <w:rPr>
                <w:sz w:val="20"/>
              </w:rPr>
            </w:pPr>
            <w:r w:rsidRPr="00D02BE6">
              <w:rPr>
                <w:sz w:val="20"/>
              </w:rPr>
              <w:t>Kirjaamo: 029 566 6768</w:t>
            </w:r>
          </w:p>
          <w:p w14:paraId="1E2072D7" w14:textId="77777777" w:rsidR="00D02BE6" w:rsidRPr="00D02BE6" w:rsidRDefault="00D02BE6" w:rsidP="00D02BE6">
            <w:pPr>
              <w:rPr>
                <w:sz w:val="20"/>
              </w:rPr>
            </w:pPr>
            <w:r w:rsidRPr="00D02BE6">
              <w:rPr>
                <w:sz w:val="20"/>
              </w:rPr>
              <w:t>Faksi: 029 566 6735</w:t>
            </w:r>
          </w:p>
          <w:p w14:paraId="5DE26AB6" w14:textId="77777777" w:rsidR="00F9242F" w:rsidRDefault="00D02BE6" w:rsidP="00D02BE6">
            <w:pPr>
              <w:rPr>
                <w:sz w:val="20"/>
              </w:rPr>
            </w:pPr>
            <w:r w:rsidRPr="00D02BE6">
              <w:rPr>
                <w:sz w:val="20"/>
              </w:rPr>
              <w:t xml:space="preserve">Sähköposti (kirjaamo): </w:t>
            </w:r>
            <w:hyperlink r:id="rId15" w:history="1">
              <w:r w:rsidRPr="00C01C76">
                <w:rPr>
                  <w:rStyle w:val="Hyperlink"/>
                  <w:sz w:val="20"/>
                </w:rPr>
                <w:t>tietosuoja@om.fi</w:t>
              </w:r>
            </w:hyperlink>
          </w:p>
          <w:p w14:paraId="5224A254" w14:textId="77777777" w:rsidR="00D02BE6" w:rsidRPr="00EB1616" w:rsidRDefault="00D02BE6" w:rsidP="00D02BE6">
            <w:pPr>
              <w:rPr>
                <w:sz w:val="20"/>
              </w:rPr>
            </w:pPr>
          </w:p>
        </w:tc>
      </w:tr>
    </w:tbl>
    <w:p w14:paraId="2654A8B1" w14:textId="77777777" w:rsidR="00D533AD" w:rsidRPr="005F791F" w:rsidRDefault="00D533AD"/>
    <w:sectPr w:rsidR="00D533AD" w:rsidRPr="005F791F" w:rsidSect="000E67BB">
      <w:headerReference w:type="default" r:id="rId16"/>
      <w:footerReference w:type="default" r:id="rId17"/>
      <w:pgSz w:w="11906" w:h="16838" w:code="9"/>
      <w:pgMar w:top="680" w:right="567" w:bottom="1134" w:left="1134" w:header="680"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8066D" w14:textId="77777777" w:rsidR="00AB2897" w:rsidRDefault="00AB2897">
      <w:r>
        <w:separator/>
      </w:r>
    </w:p>
  </w:endnote>
  <w:endnote w:type="continuationSeparator" w:id="0">
    <w:p w14:paraId="0994657D" w14:textId="77777777" w:rsidR="00AB2897" w:rsidRDefault="00AB2897">
      <w:r>
        <w:continuationSeparator/>
      </w:r>
    </w:p>
  </w:endnote>
  <w:endnote w:type="continuationNotice" w:id="1">
    <w:p w14:paraId="1001EDA1" w14:textId="77777777" w:rsidR="00AB2897" w:rsidRDefault="00AB2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 w:type="dxa"/>
      <w:tblLayout w:type="fixed"/>
      <w:tblCellMar>
        <w:left w:w="0" w:type="dxa"/>
        <w:right w:w="0" w:type="dxa"/>
      </w:tblCellMar>
      <w:tblLook w:val="0000" w:firstRow="0" w:lastRow="0" w:firstColumn="0" w:lastColumn="0" w:noHBand="0" w:noVBand="0"/>
    </w:tblPr>
    <w:tblGrid>
      <w:gridCol w:w="10484"/>
    </w:tblGrid>
    <w:tr w:rsidR="00D533AD" w14:paraId="1E4679D4" w14:textId="77777777">
      <w:trPr>
        <w:cantSplit/>
      </w:trPr>
      <w:tc>
        <w:tcPr>
          <w:tcW w:w="10484" w:type="dxa"/>
        </w:tcPr>
        <w:p w14:paraId="324F10DB" w14:textId="77777777" w:rsidR="00D533AD" w:rsidRDefault="00D533AD">
          <w:pPr>
            <w:pStyle w:val="Footer"/>
            <w:rPr>
              <w:rStyle w:val="zContactInfo"/>
            </w:rPr>
          </w:pPr>
        </w:p>
      </w:tc>
    </w:tr>
    <w:tr w:rsidR="00D533AD" w14:paraId="27990E42" w14:textId="77777777">
      <w:trPr>
        <w:cantSplit/>
      </w:trPr>
      <w:tc>
        <w:tcPr>
          <w:tcW w:w="10484" w:type="dxa"/>
        </w:tcPr>
        <w:p w14:paraId="10BC6C72" w14:textId="77777777" w:rsidR="00D533AD" w:rsidRDefault="000A290D" w:rsidP="00696BD4">
          <w:pPr>
            <w:pStyle w:val="Footer"/>
            <w:spacing w:before="60"/>
            <w:rPr>
              <w:rStyle w:val="zContactInfo"/>
            </w:rPr>
          </w:pPr>
          <w:r>
            <w:rPr>
              <w:rStyle w:val="zContactInfo"/>
              <w:b/>
              <w:bCs/>
            </w:rPr>
            <w:t>Pirkanmaan sairaanhoitopiirin kuntayhtymä</w:t>
          </w:r>
          <w:r>
            <w:rPr>
              <w:rStyle w:val="zContactInfo"/>
            </w:rPr>
            <w:br/>
            <w:t xml:space="preserve">Teiskontie 35, PL 2000, 33521 Tampere, puh. 03 311 611, etunimi.sukunimi@pshp.fi, </w:t>
          </w:r>
          <w:hyperlink r:id="rId1" w:history="1">
            <w:r w:rsidR="00DF78FF" w:rsidRPr="009E49F0">
              <w:rPr>
                <w:rStyle w:val="Hyperlink"/>
                <w:noProof/>
                <w:sz w:val="17"/>
              </w:rPr>
              <w:t>www.pshp.fi</w:t>
            </w:r>
          </w:hyperlink>
          <w:r w:rsidR="00DF78FF">
            <w:rPr>
              <w:rStyle w:val="zContactInfo"/>
            </w:rPr>
            <w:t xml:space="preserve"> </w:t>
          </w:r>
        </w:p>
      </w:tc>
    </w:tr>
  </w:tbl>
  <w:p w14:paraId="35C4C056" w14:textId="77777777" w:rsidR="00D533AD" w:rsidRDefault="00D533AD">
    <w:pPr>
      <w:pStyle w:val="Foote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64A2B" w14:textId="77777777" w:rsidR="00AB2897" w:rsidRDefault="00AB2897">
      <w:r>
        <w:separator/>
      </w:r>
    </w:p>
  </w:footnote>
  <w:footnote w:type="continuationSeparator" w:id="0">
    <w:p w14:paraId="0798B693" w14:textId="77777777" w:rsidR="00AB2897" w:rsidRDefault="00AB2897">
      <w:r>
        <w:continuationSeparator/>
      </w:r>
    </w:p>
  </w:footnote>
  <w:footnote w:type="continuationNotice" w:id="1">
    <w:p w14:paraId="1B5FBBED" w14:textId="77777777" w:rsidR="00AB2897" w:rsidRDefault="00AB2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841" w:type="dxa"/>
      <w:tblLayout w:type="fixed"/>
      <w:tblCellMar>
        <w:left w:w="28" w:type="dxa"/>
        <w:right w:w="28" w:type="dxa"/>
      </w:tblCellMar>
      <w:tblLook w:val="0000" w:firstRow="0" w:lastRow="0" w:firstColumn="0" w:lastColumn="0" w:noHBand="0" w:noVBand="0"/>
    </w:tblPr>
    <w:tblGrid>
      <w:gridCol w:w="5216"/>
      <w:gridCol w:w="5018"/>
      <w:gridCol w:w="2127"/>
      <w:gridCol w:w="480"/>
    </w:tblGrid>
    <w:tr w:rsidR="00D533AD" w14:paraId="3099D398" w14:textId="77777777" w:rsidTr="395A8046">
      <w:trPr>
        <w:cantSplit/>
        <w:trHeight w:val="280"/>
      </w:trPr>
      <w:tc>
        <w:tcPr>
          <w:tcW w:w="5216" w:type="dxa"/>
        </w:tcPr>
        <w:p w14:paraId="1ED32258" w14:textId="77777777" w:rsidR="00D533AD" w:rsidRDefault="00492280">
          <w:pPr>
            <w:pStyle w:val="Header"/>
          </w:pPr>
          <w:r>
            <w:rPr>
              <w:noProof/>
            </w:rPr>
            <w:drawing>
              <wp:anchor distT="0" distB="0" distL="114300" distR="114300" simplePos="0" relativeHeight="251658240" behindDoc="0" locked="0" layoutInCell="1" allowOverlap="1" wp14:anchorId="304231F7" wp14:editId="76839763">
                <wp:simplePos x="0" y="0"/>
                <wp:positionH relativeFrom="column">
                  <wp:posOffset>-36830</wp:posOffset>
                </wp:positionH>
                <wp:positionV relativeFrom="paragraph">
                  <wp:posOffset>5080</wp:posOffset>
                </wp:positionV>
                <wp:extent cx="1224280" cy="522605"/>
                <wp:effectExtent l="0" t="0" r="0" b="0"/>
                <wp:wrapNone/>
                <wp:docPr id="6" name="Kuva 6" descr="elaman_tahden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aman_tahden_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522605"/>
                        </a:xfrm>
                        <a:prstGeom prst="rect">
                          <a:avLst/>
                        </a:prstGeom>
                        <a:noFill/>
                      </pic:spPr>
                    </pic:pic>
                  </a:graphicData>
                </a:graphic>
                <wp14:sizeRelH relativeFrom="page">
                  <wp14:pctWidth>0</wp14:pctWidth>
                </wp14:sizeRelH>
                <wp14:sizeRelV relativeFrom="page">
                  <wp14:pctHeight>0</wp14:pctHeight>
                </wp14:sizeRelV>
              </wp:anchor>
            </w:drawing>
          </w:r>
        </w:p>
      </w:tc>
      <w:tc>
        <w:tcPr>
          <w:tcW w:w="7145" w:type="dxa"/>
          <w:gridSpan w:val="2"/>
        </w:tcPr>
        <w:p w14:paraId="24D94B02" w14:textId="2F84DB1C" w:rsidR="00D533AD" w:rsidRDefault="000E67BB" w:rsidP="00AB3112">
          <w:pPr>
            <w:pStyle w:val="Header"/>
            <w:tabs>
              <w:tab w:val="left" w:pos="4275"/>
            </w:tabs>
          </w:pPr>
          <w:bookmarkStart w:id="1" w:name="zDocumentName"/>
          <w:bookmarkStart w:id="2" w:name="zDocumentNumber"/>
          <w:bookmarkEnd w:id="1"/>
          <w:bookmarkEnd w:id="2"/>
          <w:r w:rsidRPr="000E67BB">
            <w:rPr>
              <w:b/>
            </w:rPr>
            <w:t>PSHP Tietosuojaseloste</w:t>
          </w:r>
          <w:r>
            <w:rPr>
              <w:b/>
            </w:rPr>
            <w:t xml:space="preserve"> </w:t>
          </w:r>
          <w:r>
            <w:t xml:space="preserve">(yleinen </w:t>
          </w:r>
          <w:proofErr w:type="gramStart"/>
          <w:r>
            <w:t>etu)</w:t>
          </w:r>
          <w:r w:rsidR="0013550E">
            <w:t xml:space="preserve">  </w:t>
          </w:r>
          <w:r w:rsidR="00AB3112">
            <w:t xml:space="preserve"> </w:t>
          </w:r>
          <w:proofErr w:type="gramEnd"/>
          <w:r w:rsidR="00AB3112">
            <w:t xml:space="preserve">   </w:t>
          </w:r>
          <w:r w:rsidR="00E66ABA">
            <w:t xml:space="preserve">     </w:t>
          </w:r>
          <w:r w:rsidR="00AB3112" w:rsidRPr="00E66ABA">
            <w:rPr>
              <w:sz w:val="18"/>
              <w:szCs w:val="18"/>
            </w:rPr>
            <w:fldChar w:fldCharType="begin"/>
          </w:r>
          <w:r w:rsidR="00AB3112" w:rsidRPr="00E66ABA">
            <w:rPr>
              <w:sz w:val="18"/>
              <w:szCs w:val="18"/>
            </w:rPr>
            <w:instrText xml:space="preserve"> PAGE </w:instrText>
          </w:r>
          <w:r w:rsidR="00AB3112" w:rsidRPr="00E66ABA">
            <w:rPr>
              <w:sz w:val="18"/>
              <w:szCs w:val="18"/>
            </w:rPr>
            <w:fldChar w:fldCharType="separate"/>
          </w:r>
          <w:r w:rsidR="000A6893">
            <w:rPr>
              <w:noProof/>
              <w:sz w:val="18"/>
              <w:szCs w:val="18"/>
            </w:rPr>
            <w:t>4</w:t>
          </w:r>
          <w:r w:rsidR="00AB3112" w:rsidRPr="00E66ABA">
            <w:rPr>
              <w:sz w:val="18"/>
              <w:szCs w:val="18"/>
            </w:rPr>
            <w:fldChar w:fldCharType="end"/>
          </w:r>
          <w:r w:rsidR="00AB3112" w:rsidRPr="00E66ABA">
            <w:rPr>
              <w:sz w:val="18"/>
              <w:szCs w:val="18"/>
            </w:rPr>
            <w:t xml:space="preserve"> (</w:t>
          </w:r>
          <w:r w:rsidR="00AB3112" w:rsidRPr="00E66ABA">
            <w:rPr>
              <w:sz w:val="18"/>
              <w:szCs w:val="18"/>
            </w:rPr>
            <w:fldChar w:fldCharType="begin"/>
          </w:r>
          <w:r w:rsidR="00AB3112" w:rsidRPr="00E66ABA">
            <w:rPr>
              <w:sz w:val="18"/>
              <w:szCs w:val="18"/>
            </w:rPr>
            <w:instrText xml:space="preserve"> NUMPAGES </w:instrText>
          </w:r>
          <w:r w:rsidR="00AB3112" w:rsidRPr="00E66ABA">
            <w:rPr>
              <w:sz w:val="18"/>
              <w:szCs w:val="18"/>
            </w:rPr>
            <w:fldChar w:fldCharType="separate"/>
          </w:r>
          <w:r w:rsidR="000A6893">
            <w:rPr>
              <w:noProof/>
              <w:sz w:val="18"/>
              <w:szCs w:val="18"/>
            </w:rPr>
            <w:t>5</w:t>
          </w:r>
          <w:r w:rsidR="00AB3112" w:rsidRPr="00E66ABA">
            <w:rPr>
              <w:noProof/>
              <w:sz w:val="18"/>
              <w:szCs w:val="18"/>
            </w:rPr>
            <w:fldChar w:fldCharType="end"/>
          </w:r>
          <w:r w:rsidR="00AB3112" w:rsidRPr="00E66ABA">
            <w:rPr>
              <w:sz w:val="18"/>
              <w:szCs w:val="18"/>
            </w:rPr>
            <w:t>)</w:t>
          </w:r>
        </w:p>
      </w:tc>
      <w:tc>
        <w:tcPr>
          <w:tcW w:w="480" w:type="dxa"/>
        </w:tcPr>
        <w:p w14:paraId="3F1F58AE" w14:textId="0AC0BF08" w:rsidR="00D533AD" w:rsidRDefault="000A290D">
          <w:pPr>
            <w:pStyle w:val="Header"/>
          </w:pPr>
          <w:r>
            <w:fldChar w:fldCharType="begin"/>
          </w:r>
          <w:r>
            <w:instrText xml:space="preserve"> PAGE </w:instrText>
          </w:r>
          <w:r>
            <w:fldChar w:fldCharType="separate"/>
          </w:r>
          <w:r w:rsidR="000A6893">
            <w:rPr>
              <w:noProof/>
            </w:rPr>
            <w:t>4</w:t>
          </w:r>
          <w:r>
            <w:fldChar w:fldCharType="end"/>
          </w:r>
          <w:r>
            <w:t xml:space="preserve"> (</w:t>
          </w:r>
          <w:r w:rsidR="00561228">
            <w:rPr>
              <w:noProof/>
            </w:rPr>
            <w:fldChar w:fldCharType="begin"/>
          </w:r>
          <w:r w:rsidR="00561228">
            <w:rPr>
              <w:noProof/>
            </w:rPr>
            <w:instrText xml:space="preserve"> NUMPAGES </w:instrText>
          </w:r>
          <w:r w:rsidR="00561228">
            <w:rPr>
              <w:noProof/>
            </w:rPr>
            <w:fldChar w:fldCharType="separate"/>
          </w:r>
          <w:r w:rsidR="000A6893">
            <w:rPr>
              <w:noProof/>
            </w:rPr>
            <w:t>5</w:t>
          </w:r>
          <w:r w:rsidR="00561228">
            <w:rPr>
              <w:noProof/>
            </w:rPr>
            <w:fldChar w:fldCharType="end"/>
          </w:r>
          <w:r>
            <w:t>)</w:t>
          </w:r>
        </w:p>
      </w:tc>
    </w:tr>
    <w:tr w:rsidR="00D533AD" w14:paraId="76CDA8D6" w14:textId="77777777" w:rsidTr="395A8046">
      <w:trPr>
        <w:cantSplit/>
        <w:trHeight w:val="280"/>
      </w:trPr>
      <w:tc>
        <w:tcPr>
          <w:tcW w:w="5216" w:type="dxa"/>
        </w:tcPr>
        <w:p w14:paraId="18573388" w14:textId="77777777" w:rsidR="00D533AD" w:rsidRDefault="00D533AD">
          <w:pPr>
            <w:pStyle w:val="Header"/>
          </w:pPr>
        </w:p>
      </w:tc>
      <w:tc>
        <w:tcPr>
          <w:tcW w:w="5018" w:type="dxa"/>
        </w:tcPr>
        <w:p w14:paraId="64609C8E" w14:textId="77777777" w:rsidR="00D533AD" w:rsidRPr="0013550E" w:rsidRDefault="000E67BB" w:rsidP="000E67BB">
          <w:pPr>
            <w:pStyle w:val="Header"/>
            <w:rPr>
              <w:sz w:val="18"/>
              <w:szCs w:val="18"/>
            </w:rPr>
          </w:pPr>
          <w:bookmarkStart w:id="3" w:name="zDocumentClass"/>
          <w:bookmarkEnd w:id="3"/>
          <w:r w:rsidRPr="0013550E">
            <w:rPr>
              <w:sz w:val="18"/>
              <w:szCs w:val="18"/>
            </w:rPr>
            <w:t xml:space="preserve">(EU:n yleinen tietosuoja-asetus </w:t>
          </w:r>
          <w:r w:rsidR="0013550E" w:rsidRPr="0013550E">
            <w:rPr>
              <w:sz w:val="18"/>
              <w:szCs w:val="18"/>
            </w:rPr>
            <w:t>(679/2016) art. 12, 13 ja 14)</w:t>
          </w:r>
          <w:r w:rsidRPr="0013550E">
            <w:rPr>
              <w:sz w:val="18"/>
              <w:szCs w:val="18"/>
            </w:rPr>
            <w:t xml:space="preserve"> </w:t>
          </w:r>
        </w:p>
      </w:tc>
      <w:tc>
        <w:tcPr>
          <w:tcW w:w="2127" w:type="dxa"/>
        </w:tcPr>
        <w:p w14:paraId="6962DD9B" w14:textId="77777777" w:rsidR="00D533AD" w:rsidRDefault="00D533AD" w:rsidP="000E67BB">
          <w:pPr>
            <w:pStyle w:val="Header"/>
            <w:ind w:left="1247" w:right="-852"/>
          </w:pPr>
        </w:p>
      </w:tc>
      <w:tc>
        <w:tcPr>
          <w:tcW w:w="480" w:type="dxa"/>
        </w:tcPr>
        <w:p w14:paraId="10DC8457" w14:textId="77777777" w:rsidR="00D533AD" w:rsidRDefault="00D533AD" w:rsidP="0013550E">
          <w:pPr>
            <w:pStyle w:val="Header"/>
            <w:ind w:left="370"/>
          </w:pPr>
          <w:bookmarkStart w:id="4" w:name="zDocumentEnclosure"/>
          <w:bookmarkEnd w:id="4"/>
        </w:p>
      </w:tc>
    </w:tr>
    <w:tr w:rsidR="00D533AD" w14:paraId="2C84C941" w14:textId="77777777" w:rsidTr="395A8046">
      <w:trPr>
        <w:cantSplit/>
        <w:trHeight w:val="280"/>
      </w:trPr>
      <w:tc>
        <w:tcPr>
          <w:tcW w:w="5216" w:type="dxa"/>
        </w:tcPr>
        <w:p w14:paraId="4AD31287" w14:textId="77777777" w:rsidR="00D533AD" w:rsidRDefault="00D533AD">
          <w:pPr>
            <w:pStyle w:val="Header"/>
          </w:pPr>
        </w:p>
      </w:tc>
      <w:tc>
        <w:tcPr>
          <w:tcW w:w="5018" w:type="dxa"/>
        </w:tcPr>
        <w:p w14:paraId="1E7A9764" w14:textId="77777777" w:rsidR="00D533AD" w:rsidRDefault="00D533AD">
          <w:pPr>
            <w:pStyle w:val="Header"/>
          </w:pPr>
        </w:p>
      </w:tc>
      <w:tc>
        <w:tcPr>
          <w:tcW w:w="2607" w:type="dxa"/>
          <w:gridSpan w:val="2"/>
        </w:tcPr>
        <w:p w14:paraId="600EA2B4" w14:textId="77777777" w:rsidR="00D533AD" w:rsidRDefault="00D533AD">
          <w:pPr>
            <w:pStyle w:val="Header"/>
          </w:pPr>
        </w:p>
      </w:tc>
    </w:tr>
    <w:tr w:rsidR="00D533AD" w14:paraId="5635FCBD" w14:textId="77777777" w:rsidTr="395A8046">
      <w:trPr>
        <w:cantSplit/>
        <w:trHeight w:val="280"/>
      </w:trPr>
      <w:tc>
        <w:tcPr>
          <w:tcW w:w="5216" w:type="dxa"/>
        </w:tcPr>
        <w:p w14:paraId="7D2991BC" w14:textId="77777777" w:rsidR="00D533AD" w:rsidRDefault="00D533AD">
          <w:pPr>
            <w:pStyle w:val="Header"/>
          </w:pPr>
          <w:bookmarkStart w:id="5" w:name="zSenderName"/>
          <w:bookmarkEnd w:id="5"/>
        </w:p>
      </w:tc>
      <w:bookmarkStart w:id="6" w:name="zDate"/>
      <w:bookmarkEnd w:id="6"/>
      <w:tc>
        <w:tcPr>
          <w:tcW w:w="5018" w:type="dxa"/>
        </w:tcPr>
        <w:p w14:paraId="3EC8D24E" w14:textId="099E4268" w:rsidR="00D533AD" w:rsidRDefault="000A290D">
          <w:pPr>
            <w:pStyle w:val="Header"/>
          </w:pPr>
          <w:r>
            <w:rPr>
              <w:noProof/>
            </w:rPr>
            <w:fldChar w:fldCharType="begin"/>
          </w:r>
          <w:r>
            <w:rPr>
              <w:noProof/>
            </w:rPr>
            <w:instrText xml:space="preserve"> DATE   \* MERGEFORMAT </w:instrText>
          </w:r>
          <w:r>
            <w:rPr>
              <w:noProof/>
            </w:rPr>
            <w:fldChar w:fldCharType="separate"/>
          </w:r>
          <w:r w:rsidR="00DA2401">
            <w:rPr>
              <w:noProof/>
            </w:rPr>
            <w:t>17.3.2021</w:t>
          </w:r>
          <w:r>
            <w:rPr>
              <w:noProof/>
            </w:rPr>
            <w:fldChar w:fldCharType="end"/>
          </w:r>
        </w:p>
      </w:tc>
      <w:tc>
        <w:tcPr>
          <w:tcW w:w="2607" w:type="dxa"/>
          <w:gridSpan w:val="2"/>
        </w:tcPr>
        <w:p w14:paraId="3938E1AA" w14:textId="77777777" w:rsidR="00D533AD" w:rsidRDefault="00D533AD">
          <w:pPr>
            <w:pStyle w:val="Header"/>
          </w:pPr>
          <w:bookmarkStart w:id="7" w:name="zDocumentID"/>
          <w:bookmarkEnd w:id="7"/>
        </w:p>
      </w:tc>
    </w:tr>
  </w:tbl>
  <w:p w14:paraId="702DD186" w14:textId="77777777" w:rsidR="00D533AD" w:rsidRDefault="00D533AD">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063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ECE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DC2E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706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B9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A428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E6A6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A2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36F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605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76106C"/>
    <w:multiLevelType w:val="hybridMultilevel"/>
    <w:tmpl w:val="76506A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4E7E35"/>
    <w:multiLevelType w:val="hybridMultilevel"/>
    <w:tmpl w:val="7BD86B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8C8423F"/>
    <w:multiLevelType w:val="hybridMultilevel"/>
    <w:tmpl w:val="9F900272"/>
    <w:lvl w:ilvl="0" w:tplc="554CA6A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BA90520"/>
    <w:multiLevelType w:val="hybridMultilevel"/>
    <w:tmpl w:val="DA44F2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i-FI" w:vendorID="64" w:dllVersion="6" w:nlCheck="1" w:checkStyle="0"/>
  <w:activeWritingStyle w:appName="MSWord" w:lang="fi-FI" w:vendorID="64" w:dllVersion="0" w:nlCheck="1" w:checkStyle="0"/>
  <w:activeWritingStyle w:appName="MSWord" w:lang="en-US" w:vendorID="64" w:dllVersion="0" w:nlCheck="1" w:checkStyle="0"/>
  <w:activeWritingStyle w:appName="MSWord" w:lang="fi-FI"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0E67BB"/>
    <w:rsid w:val="00052078"/>
    <w:rsid w:val="00074296"/>
    <w:rsid w:val="000750BF"/>
    <w:rsid w:val="00081681"/>
    <w:rsid w:val="00091097"/>
    <w:rsid w:val="000A290D"/>
    <w:rsid w:val="000A6893"/>
    <w:rsid w:val="000A73CA"/>
    <w:rsid w:val="000B3721"/>
    <w:rsid w:val="000C64D2"/>
    <w:rsid w:val="000E67BB"/>
    <w:rsid w:val="000F61D5"/>
    <w:rsid w:val="00103417"/>
    <w:rsid w:val="00104CA7"/>
    <w:rsid w:val="00121338"/>
    <w:rsid w:val="00130606"/>
    <w:rsid w:val="0013317C"/>
    <w:rsid w:val="0013550E"/>
    <w:rsid w:val="00142E08"/>
    <w:rsid w:val="00151F84"/>
    <w:rsid w:val="00155153"/>
    <w:rsid w:val="00164980"/>
    <w:rsid w:val="00164A71"/>
    <w:rsid w:val="001747BE"/>
    <w:rsid w:val="00180EB4"/>
    <w:rsid w:val="0018794A"/>
    <w:rsid w:val="001A1920"/>
    <w:rsid w:val="001A4AB5"/>
    <w:rsid w:val="001C11E6"/>
    <w:rsid w:val="001C53FD"/>
    <w:rsid w:val="001F7110"/>
    <w:rsid w:val="001F78C7"/>
    <w:rsid w:val="00212FC7"/>
    <w:rsid w:val="00233D75"/>
    <w:rsid w:val="002610E0"/>
    <w:rsid w:val="0028222F"/>
    <w:rsid w:val="002959F1"/>
    <w:rsid w:val="002C2753"/>
    <w:rsid w:val="002E1D57"/>
    <w:rsid w:val="002F5731"/>
    <w:rsid w:val="00302878"/>
    <w:rsid w:val="00303812"/>
    <w:rsid w:val="003218FE"/>
    <w:rsid w:val="003262A2"/>
    <w:rsid w:val="00335E54"/>
    <w:rsid w:val="003514AB"/>
    <w:rsid w:val="003552A5"/>
    <w:rsid w:val="00357A81"/>
    <w:rsid w:val="00361FFC"/>
    <w:rsid w:val="00366DFA"/>
    <w:rsid w:val="0037565F"/>
    <w:rsid w:val="003829EC"/>
    <w:rsid w:val="003A5623"/>
    <w:rsid w:val="003E09EB"/>
    <w:rsid w:val="003E5C51"/>
    <w:rsid w:val="003E627E"/>
    <w:rsid w:val="003F2A75"/>
    <w:rsid w:val="003F36AD"/>
    <w:rsid w:val="003F4160"/>
    <w:rsid w:val="0040531F"/>
    <w:rsid w:val="00410993"/>
    <w:rsid w:val="00420126"/>
    <w:rsid w:val="004212A1"/>
    <w:rsid w:val="004257F4"/>
    <w:rsid w:val="00425FED"/>
    <w:rsid w:val="00433ADB"/>
    <w:rsid w:val="0044643E"/>
    <w:rsid w:val="00456313"/>
    <w:rsid w:val="0046167A"/>
    <w:rsid w:val="0046506C"/>
    <w:rsid w:val="00471E78"/>
    <w:rsid w:val="00475B71"/>
    <w:rsid w:val="00477D08"/>
    <w:rsid w:val="00492280"/>
    <w:rsid w:val="004A16F1"/>
    <w:rsid w:val="004D125C"/>
    <w:rsid w:val="004D1861"/>
    <w:rsid w:val="004E4C71"/>
    <w:rsid w:val="004E5F7D"/>
    <w:rsid w:val="004F09AC"/>
    <w:rsid w:val="004F404C"/>
    <w:rsid w:val="004F5E95"/>
    <w:rsid w:val="00553F04"/>
    <w:rsid w:val="00557DFC"/>
    <w:rsid w:val="00561228"/>
    <w:rsid w:val="00582400"/>
    <w:rsid w:val="005A5BAC"/>
    <w:rsid w:val="005B5CB5"/>
    <w:rsid w:val="005C0FF2"/>
    <w:rsid w:val="005D040D"/>
    <w:rsid w:val="005D76FE"/>
    <w:rsid w:val="005F2224"/>
    <w:rsid w:val="005F3106"/>
    <w:rsid w:val="005F791F"/>
    <w:rsid w:val="00600911"/>
    <w:rsid w:val="006170F5"/>
    <w:rsid w:val="00633E3F"/>
    <w:rsid w:val="00645B96"/>
    <w:rsid w:val="00653F85"/>
    <w:rsid w:val="00687BFA"/>
    <w:rsid w:val="00694F65"/>
    <w:rsid w:val="006969D5"/>
    <w:rsid w:val="00696BD4"/>
    <w:rsid w:val="006B1B9E"/>
    <w:rsid w:val="006B1F5E"/>
    <w:rsid w:val="006C1E09"/>
    <w:rsid w:val="006C57EF"/>
    <w:rsid w:val="006C6B5B"/>
    <w:rsid w:val="006D1769"/>
    <w:rsid w:val="00721769"/>
    <w:rsid w:val="007404D1"/>
    <w:rsid w:val="007445E2"/>
    <w:rsid w:val="00747688"/>
    <w:rsid w:val="0076547F"/>
    <w:rsid w:val="0077716D"/>
    <w:rsid w:val="007C0276"/>
    <w:rsid w:val="007C1811"/>
    <w:rsid w:val="007C2C81"/>
    <w:rsid w:val="007D4B40"/>
    <w:rsid w:val="007E6F4A"/>
    <w:rsid w:val="00802DC6"/>
    <w:rsid w:val="00805D8D"/>
    <w:rsid w:val="00821BDE"/>
    <w:rsid w:val="00824F4E"/>
    <w:rsid w:val="00827962"/>
    <w:rsid w:val="00845F32"/>
    <w:rsid w:val="00847A9C"/>
    <w:rsid w:val="00856F04"/>
    <w:rsid w:val="00866E54"/>
    <w:rsid w:val="00870185"/>
    <w:rsid w:val="008821D8"/>
    <w:rsid w:val="00897128"/>
    <w:rsid w:val="008A328F"/>
    <w:rsid w:val="008B12F3"/>
    <w:rsid w:val="008C7CF2"/>
    <w:rsid w:val="00915DE5"/>
    <w:rsid w:val="00926787"/>
    <w:rsid w:val="00927F05"/>
    <w:rsid w:val="00935E74"/>
    <w:rsid w:val="00946E07"/>
    <w:rsid w:val="00953A4E"/>
    <w:rsid w:val="00957A6B"/>
    <w:rsid w:val="009616D9"/>
    <w:rsid w:val="00975012"/>
    <w:rsid w:val="009B0A1D"/>
    <w:rsid w:val="009B1229"/>
    <w:rsid w:val="009C5B75"/>
    <w:rsid w:val="009D58C8"/>
    <w:rsid w:val="009D73B5"/>
    <w:rsid w:val="009F0543"/>
    <w:rsid w:val="00A122CD"/>
    <w:rsid w:val="00A33111"/>
    <w:rsid w:val="00A45490"/>
    <w:rsid w:val="00A620E2"/>
    <w:rsid w:val="00A77CEE"/>
    <w:rsid w:val="00A82894"/>
    <w:rsid w:val="00AB2897"/>
    <w:rsid w:val="00AB3112"/>
    <w:rsid w:val="00AC3E8E"/>
    <w:rsid w:val="00AC51CC"/>
    <w:rsid w:val="00AD4937"/>
    <w:rsid w:val="00AE731A"/>
    <w:rsid w:val="00AF2BDB"/>
    <w:rsid w:val="00B023D8"/>
    <w:rsid w:val="00B125E1"/>
    <w:rsid w:val="00B569DC"/>
    <w:rsid w:val="00B60968"/>
    <w:rsid w:val="00B624B0"/>
    <w:rsid w:val="00B732D7"/>
    <w:rsid w:val="00B73368"/>
    <w:rsid w:val="00BB2624"/>
    <w:rsid w:val="00BC395D"/>
    <w:rsid w:val="00BC53B2"/>
    <w:rsid w:val="00BD4A6F"/>
    <w:rsid w:val="00BD7956"/>
    <w:rsid w:val="00BE0F32"/>
    <w:rsid w:val="00BF4B6D"/>
    <w:rsid w:val="00BF62D1"/>
    <w:rsid w:val="00C00F71"/>
    <w:rsid w:val="00C056CE"/>
    <w:rsid w:val="00C33327"/>
    <w:rsid w:val="00C35A83"/>
    <w:rsid w:val="00C95AE5"/>
    <w:rsid w:val="00CB24B3"/>
    <w:rsid w:val="00CB4A4A"/>
    <w:rsid w:val="00CC6797"/>
    <w:rsid w:val="00CD317D"/>
    <w:rsid w:val="00D02BE6"/>
    <w:rsid w:val="00D03BEA"/>
    <w:rsid w:val="00D111AD"/>
    <w:rsid w:val="00D257F8"/>
    <w:rsid w:val="00D270CF"/>
    <w:rsid w:val="00D435FE"/>
    <w:rsid w:val="00D533AD"/>
    <w:rsid w:val="00D91269"/>
    <w:rsid w:val="00D92557"/>
    <w:rsid w:val="00D93329"/>
    <w:rsid w:val="00DA2401"/>
    <w:rsid w:val="00DA3B3E"/>
    <w:rsid w:val="00DB4B02"/>
    <w:rsid w:val="00DC2749"/>
    <w:rsid w:val="00DC516B"/>
    <w:rsid w:val="00DF3CA5"/>
    <w:rsid w:val="00DF78FF"/>
    <w:rsid w:val="00E02D63"/>
    <w:rsid w:val="00E1271E"/>
    <w:rsid w:val="00E230C5"/>
    <w:rsid w:val="00E23C94"/>
    <w:rsid w:val="00E24CED"/>
    <w:rsid w:val="00E302DC"/>
    <w:rsid w:val="00E36754"/>
    <w:rsid w:val="00E37683"/>
    <w:rsid w:val="00E442BD"/>
    <w:rsid w:val="00E54B88"/>
    <w:rsid w:val="00E66ABA"/>
    <w:rsid w:val="00EB1616"/>
    <w:rsid w:val="00ED0B91"/>
    <w:rsid w:val="00ED537A"/>
    <w:rsid w:val="00EF40E6"/>
    <w:rsid w:val="00F10296"/>
    <w:rsid w:val="00F21013"/>
    <w:rsid w:val="00F50A2B"/>
    <w:rsid w:val="00F743ED"/>
    <w:rsid w:val="00F746C8"/>
    <w:rsid w:val="00F9242F"/>
    <w:rsid w:val="00F93F74"/>
    <w:rsid w:val="00FA103B"/>
    <w:rsid w:val="00FB6C35"/>
    <w:rsid w:val="00FC33AC"/>
    <w:rsid w:val="00FC521A"/>
    <w:rsid w:val="00FE09DF"/>
    <w:rsid w:val="00FF0172"/>
    <w:rsid w:val="038F2ED2"/>
    <w:rsid w:val="04335D09"/>
    <w:rsid w:val="04741A4F"/>
    <w:rsid w:val="050A0EB0"/>
    <w:rsid w:val="06C3EA03"/>
    <w:rsid w:val="06C93106"/>
    <w:rsid w:val="0704E58D"/>
    <w:rsid w:val="081FA3FA"/>
    <w:rsid w:val="0890084D"/>
    <w:rsid w:val="08ACCD5F"/>
    <w:rsid w:val="093F3174"/>
    <w:rsid w:val="09907751"/>
    <w:rsid w:val="099CAF1A"/>
    <w:rsid w:val="0B0193BF"/>
    <w:rsid w:val="0B43AFFA"/>
    <w:rsid w:val="0BF2C6FC"/>
    <w:rsid w:val="0D04522A"/>
    <w:rsid w:val="0EFFC740"/>
    <w:rsid w:val="0F612826"/>
    <w:rsid w:val="0FCF6011"/>
    <w:rsid w:val="0FF13057"/>
    <w:rsid w:val="10CB91AC"/>
    <w:rsid w:val="11EE626A"/>
    <w:rsid w:val="126B73E4"/>
    <w:rsid w:val="138D9B28"/>
    <w:rsid w:val="1400C150"/>
    <w:rsid w:val="144E760E"/>
    <w:rsid w:val="159F8721"/>
    <w:rsid w:val="15D952C0"/>
    <w:rsid w:val="170F3A1B"/>
    <w:rsid w:val="1756F33B"/>
    <w:rsid w:val="18795D5A"/>
    <w:rsid w:val="1A9EEA1E"/>
    <w:rsid w:val="1AB9EE29"/>
    <w:rsid w:val="1B70F9D2"/>
    <w:rsid w:val="1B76C652"/>
    <w:rsid w:val="1B9D084D"/>
    <w:rsid w:val="1C103D7B"/>
    <w:rsid w:val="1DB7274C"/>
    <w:rsid w:val="20C7D8DE"/>
    <w:rsid w:val="20DFD1BA"/>
    <w:rsid w:val="23026861"/>
    <w:rsid w:val="235321FB"/>
    <w:rsid w:val="23EAB49A"/>
    <w:rsid w:val="27363373"/>
    <w:rsid w:val="27A5B1F0"/>
    <w:rsid w:val="27F567E4"/>
    <w:rsid w:val="29EB1AEF"/>
    <w:rsid w:val="2B2DAD82"/>
    <w:rsid w:val="2BAAF877"/>
    <w:rsid w:val="2EE06C6A"/>
    <w:rsid w:val="2FB0AC70"/>
    <w:rsid w:val="2FCD2A0E"/>
    <w:rsid w:val="30139C82"/>
    <w:rsid w:val="302E6874"/>
    <w:rsid w:val="304321BB"/>
    <w:rsid w:val="307F8F23"/>
    <w:rsid w:val="30D52012"/>
    <w:rsid w:val="311C1D54"/>
    <w:rsid w:val="31CF3BB3"/>
    <w:rsid w:val="32E7CD7B"/>
    <w:rsid w:val="32F66CE8"/>
    <w:rsid w:val="33838EC5"/>
    <w:rsid w:val="35573C70"/>
    <w:rsid w:val="360AFC72"/>
    <w:rsid w:val="37225E63"/>
    <w:rsid w:val="37821803"/>
    <w:rsid w:val="38BD6E62"/>
    <w:rsid w:val="395A8046"/>
    <w:rsid w:val="3AB10316"/>
    <w:rsid w:val="3EE28C8F"/>
    <w:rsid w:val="3FBA84FC"/>
    <w:rsid w:val="42A618E2"/>
    <w:rsid w:val="432576C5"/>
    <w:rsid w:val="463C621D"/>
    <w:rsid w:val="470FCDF9"/>
    <w:rsid w:val="47AE0AB1"/>
    <w:rsid w:val="4992149D"/>
    <w:rsid w:val="49FAE218"/>
    <w:rsid w:val="4A920EB9"/>
    <w:rsid w:val="4CA3D39F"/>
    <w:rsid w:val="4CEF0210"/>
    <w:rsid w:val="4E45C24C"/>
    <w:rsid w:val="4E6A653A"/>
    <w:rsid w:val="4F7541A9"/>
    <w:rsid w:val="4FCAA7DC"/>
    <w:rsid w:val="50FDE4ED"/>
    <w:rsid w:val="519F9DC7"/>
    <w:rsid w:val="51F3FEB4"/>
    <w:rsid w:val="527D424C"/>
    <w:rsid w:val="537925C7"/>
    <w:rsid w:val="537A95B6"/>
    <w:rsid w:val="5468EC45"/>
    <w:rsid w:val="54F894F7"/>
    <w:rsid w:val="551942B4"/>
    <w:rsid w:val="56F6FCA5"/>
    <w:rsid w:val="5841FD6A"/>
    <w:rsid w:val="5847C904"/>
    <w:rsid w:val="58B37EBC"/>
    <w:rsid w:val="591CC9FC"/>
    <w:rsid w:val="59536B21"/>
    <w:rsid w:val="5995D40B"/>
    <w:rsid w:val="5A16D5A3"/>
    <w:rsid w:val="5A5AD08C"/>
    <w:rsid w:val="5ADD9958"/>
    <w:rsid w:val="5B8F85D3"/>
    <w:rsid w:val="5C3741FC"/>
    <w:rsid w:val="5CC49E20"/>
    <w:rsid w:val="5CF84DED"/>
    <w:rsid w:val="5D06B0E2"/>
    <w:rsid w:val="5E0534D8"/>
    <w:rsid w:val="5E235072"/>
    <w:rsid w:val="5FC64257"/>
    <w:rsid w:val="609CB29C"/>
    <w:rsid w:val="60E4A20B"/>
    <w:rsid w:val="61FEA0C2"/>
    <w:rsid w:val="62623C7F"/>
    <w:rsid w:val="62FF2511"/>
    <w:rsid w:val="63A31E23"/>
    <w:rsid w:val="6410C34C"/>
    <w:rsid w:val="66251E12"/>
    <w:rsid w:val="6652FBA9"/>
    <w:rsid w:val="665305DD"/>
    <w:rsid w:val="671B09F3"/>
    <w:rsid w:val="6958F5D5"/>
    <w:rsid w:val="696E37DA"/>
    <w:rsid w:val="6A0A19C6"/>
    <w:rsid w:val="6B9CB540"/>
    <w:rsid w:val="6C101897"/>
    <w:rsid w:val="6C508490"/>
    <w:rsid w:val="711E1201"/>
    <w:rsid w:val="71CED480"/>
    <w:rsid w:val="7265AE6A"/>
    <w:rsid w:val="74AC6DC4"/>
    <w:rsid w:val="756789BD"/>
    <w:rsid w:val="75947523"/>
    <w:rsid w:val="791DA5C6"/>
    <w:rsid w:val="7ABADC3B"/>
    <w:rsid w:val="7AC7F8B8"/>
    <w:rsid w:val="7B5D5892"/>
    <w:rsid w:val="7D74FCC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75FA5"/>
  <w15:docId w15:val="{F6BE065F-42E3-4F24-A7D0-FBDCE6C7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Sis2"/>
    <w:qFormat/>
    <w:pPr>
      <w:keepNext/>
      <w:spacing w:before="240" w:after="240"/>
      <w:outlineLvl w:val="0"/>
    </w:pPr>
    <w:rPr>
      <w:b/>
    </w:rPr>
  </w:style>
  <w:style w:type="paragraph" w:styleId="Heading2">
    <w:name w:val="heading 2"/>
    <w:basedOn w:val="Normal"/>
    <w:next w:val="Sis2"/>
    <w:qFormat/>
    <w:pPr>
      <w:keepNext/>
      <w:spacing w:before="240" w:after="240"/>
      <w:outlineLvl w:val="1"/>
    </w:pPr>
    <w:rPr>
      <w:b/>
    </w:rPr>
  </w:style>
  <w:style w:type="paragraph" w:styleId="Heading3">
    <w:name w:val="heading 3"/>
    <w:basedOn w:val="Normal"/>
    <w:next w:val="Sis2"/>
    <w:qFormat/>
    <w:pPr>
      <w:keepNext/>
      <w:spacing w:before="240"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Header">
    <w:name w:val="header"/>
    <w:basedOn w:val="Normal"/>
    <w:link w:val="HeaderChar"/>
    <w:uiPriority w:val="99"/>
  </w:style>
  <w:style w:type="paragraph" w:customStyle="1" w:styleId="Vastaanottaja">
    <w:name w:val="Vastaanottaja"/>
    <w:basedOn w:val="Normal"/>
  </w:style>
  <w:style w:type="paragraph" w:customStyle="1" w:styleId="Viite">
    <w:name w:val="Viite"/>
    <w:basedOn w:val="Normal"/>
    <w:next w:val="Paaotsikko"/>
    <w:pPr>
      <w:spacing w:after="240"/>
    </w:pPr>
  </w:style>
  <w:style w:type="paragraph" w:customStyle="1" w:styleId="Paaotsikko">
    <w:name w:val="Paaotsikko"/>
    <w:basedOn w:val="Normal"/>
    <w:next w:val="Sis2"/>
    <w:qFormat/>
    <w:pPr>
      <w:spacing w:after="240"/>
      <w:ind w:right="2155"/>
    </w:pPr>
    <w:rPr>
      <w:b/>
      <w:caps/>
    </w:rPr>
  </w:style>
  <w:style w:type="paragraph" w:customStyle="1" w:styleId="Sis1">
    <w:name w:val="Sis 1"/>
    <w:basedOn w:val="Normal"/>
    <w:qFormat/>
    <w:pPr>
      <w:ind w:left="1304"/>
    </w:pPr>
  </w:style>
  <w:style w:type="paragraph" w:customStyle="1" w:styleId="Sis2">
    <w:name w:val="Sis 2"/>
    <w:basedOn w:val="Normal"/>
    <w:qFormat/>
    <w:pPr>
      <w:ind w:left="2608"/>
    </w:pPr>
  </w:style>
  <w:style w:type="paragraph" w:customStyle="1" w:styleId="Sivuotsikko1">
    <w:name w:val="Sivuotsikko 1"/>
    <w:basedOn w:val="Normal"/>
    <w:next w:val="Sis1"/>
    <w:pPr>
      <w:ind w:left="1304" w:hanging="1304"/>
    </w:pPr>
  </w:style>
  <w:style w:type="paragraph" w:customStyle="1" w:styleId="Sivuotsikko2">
    <w:name w:val="Sivuotsikko 2"/>
    <w:basedOn w:val="Normal"/>
    <w:next w:val="Sis2"/>
    <w:pPr>
      <w:ind w:left="2608" w:hanging="2608"/>
    </w:pPr>
  </w:style>
  <w:style w:type="character" w:styleId="PageNumber">
    <w:name w:val="page number"/>
    <w:basedOn w:val="DefaultParagraphFont"/>
  </w:style>
  <w:style w:type="character" w:customStyle="1" w:styleId="zContactInfo">
    <w:name w:val="zContact Info"/>
    <w:basedOn w:val="DefaultParagraphFont"/>
    <w:rPr>
      <w:rFonts w:ascii="Arial" w:hAnsi="Arial"/>
      <w:noProof/>
      <w:sz w:val="17"/>
      <w:lang w:val="fi-FI"/>
    </w:rPr>
  </w:style>
  <w:style w:type="paragraph" w:styleId="BalloonText">
    <w:name w:val="Balloon Text"/>
    <w:basedOn w:val="Normal"/>
    <w:link w:val="BalloonText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DefaultParagraphFont"/>
    <w:rPr>
      <w:caps/>
    </w:rPr>
  </w:style>
  <w:style w:type="paragraph" w:customStyle="1" w:styleId="Apuotsikko">
    <w:name w:val="Apuotsikko"/>
    <w:basedOn w:val="Normal"/>
    <w:qFormat/>
    <w:pPr>
      <w:ind w:left="2608" w:hanging="1304"/>
    </w:pPr>
  </w:style>
  <w:style w:type="character" w:customStyle="1" w:styleId="BalloonTextChar">
    <w:name w:val="Balloon Text Char"/>
    <w:basedOn w:val="DefaultParagraphFont"/>
    <w:link w:val="BalloonText"/>
    <w:rsid w:val="00D93329"/>
    <w:rPr>
      <w:rFonts w:ascii="Tahoma" w:hAnsi="Tahoma" w:cs="Tahoma"/>
      <w:sz w:val="16"/>
      <w:szCs w:val="16"/>
    </w:rPr>
  </w:style>
  <w:style w:type="character" w:customStyle="1" w:styleId="HeaderChar">
    <w:name w:val="Header Char"/>
    <w:basedOn w:val="DefaultParagraphFont"/>
    <w:link w:val="Header"/>
    <w:uiPriority w:val="99"/>
    <w:rsid w:val="0013550E"/>
    <w:rPr>
      <w:rFonts w:ascii="Arial" w:hAnsi="Arial"/>
      <w:sz w:val="22"/>
    </w:rPr>
  </w:style>
  <w:style w:type="character" w:styleId="Hyperlink">
    <w:name w:val="Hyperlink"/>
    <w:basedOn w:val="DefaultParagraphFont"/>
    <w:rsid w:val="00DF78FF"/>
    <w:rPr>
      <w:color w:val="0000FF" w:themeColor="hyperlink"/>
      <w:u w:val="single"/>
    </w:rPr>
  </w:style>
  <w:style w:type="character" w:customStyle="1" w:styleId="FooterChar">
    <w:name w:val="Footer Char"/>
    <w:basedOn w:val="DefaultParagraphFont"/>
    <w:link w:val="Footer"/>
    <w:uiPriority w:val="99"/>
    <w:rsid w:val="00DF78FF"/>
    <w:rPr>
      <w:rFonts w:ascii="Arial" w:hAnsi="Arial"/>
      <w:sz w:val="22"/>
    </w:rPr>
  </w:style>
  <w:style w:type="table" w:styleId="TableGrid">
    <w:name w:val="Table Grid"/>
    <w:basedOn w:val="TableNormal"/>
    <w:rsid w:val="00EB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616"/>
    <w:pPr>
      <w:ind w:left="720"/>
      <w:contextualSpacing/>
    </w:pPr>
  </w:style>
  <w:style w:type="character" w:customStyle="1" w:styleId="Ratkaisematonmaininta1">
    <w:name w:val="Ratkaisematon maininta1"/>
    <w:basedOn w:val="DefaultParagraphFont"/>
    <w:uiPriority w:val="99"/>
    <w:semiHidden/>
    <w:unhideWhenUsed/>
    <w:rsid w:val="00164A71"/>
    <w:rPr>
      <w:color w:val="605E5C"/>
      <w:shd w:val="clear" w:color="auto" w:fill="E1DFDD"/>
    </w:rPr>
  </w:style>
  <w:style w:type="character" w:customStyle="1" w:styleId="visually-hidden">
    <w:name w:val="visually-hidden"/>
    <w:basedOn w:val="DefaultParagraphFont"/>
    <w:rsid w:val="00164A71"/>
  </w:style>
  <w:style w:type="character" w:styleId="CommentReference">
    <w:name w:val="annotation reference"/>
    <w:basedOn w:val="DefaultParagraphFont"/>
    <w:uiPriority w:val="99"/>
    <w:semiHidden/>
    <w:unhideWhenUsed/>
    <w:rsid w:val="00164A71"/>
    <w:rPr>
      <w:sz w:val="16"/>
      <w:szCs w:val="16"/>
    </w:rPr>
  </w:style>
  <w:style w:type="paragraph" w:styleId="CommentText">
    <w:name w:val="annotation text"/>
    <w:basedOn w:val="Normal"/>
    <w:link w:val="CommentTextChar"/>
    <w:uiPriority w:val="99"/>
    <w:unhideWhenUsed/>
    <w:rsid w:val="00164A71"/>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64A71"/>
    <w:rPr>
      <w:rFonts w:asciiTheme="minorHAnsi" w:eastAsiaTheme="minorHAnsi" w:hAnsiTheme="minorHAnsi" w:cstheme="minorBidi"/>
      <w:lang w:eastAsia="en-US"/>
    </w:rPr>
  </w:style>
  <w:style w:type="paragraph" w:customStyle="1" w:styleId="xxmsocommenttext">
    <w:name w:val="x_xmsocommenttext"/>
    <w:basedOn w:val="Normal"/>
    <w:rsid w:val="00164A71"/>
    <w:rPr>
      <w:rFonts w:ascii="Calibri" w:eastAsiaTheme="minorHAnsi" w:hAnsi="Calibri" w:cs="Calibri"/>
      <w:szCs w:val="22"/>
    </w:rPr>
  </w:style>
  <w:style w:type="paragraph" w:styleId="NormalWeb">
    <w:name w:val="Normal (Web)"/>
    <w:basedOn w:val="Normal"/>
    <w:uiPriority w:val="99"/>
    <w:unhideWhenUsed/>
    <w:rsid w:val="00694F65"/>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B732D7"/>
    <w:pPr>
      <w:spacing w:after="0"/>
    </w:pPr>
    <w:rPr>
      <w:rFonts w:ascii="Arial" w:eastAsia="Times New Roman" w:hAnsi="Arial" w:cs="Times New Roman"/>
      <w:b/>
      <w:bCs/>
      <w:lang w:eastAsia="fi-FI"/>
    </w:rPr>
  </w:style>
  <w:style w:type="character" w:customStyle="1" w:styleId="CommentSubjectChar">
    <w:name w:val="Comment Subject Char"/>
    <w:basedOn w:val="CommentTextChar"/>
    <w:link w:val="CommentSubject"/>
    <w:semiHidden/>
    <w:rsid w:val="00B732D7"/>
    <w:rPr>
      <w:rFonts w:ascii="Arial" w:eastAsiaTheme="minorHAnsi" w:hAnsi="Arial" w:cstheme="minorBidi"/>
      <w:b/>
      <w:bCs/>
      <w:lang w:eastAsia="en-US"/>
    </w:rPr>
  </w:style>
  <w:style w:type="character" w:styleId="UnresolvedMention">
    <w:name w:val="Unresolved Mention"/>
    <w:basedOn w:val="DefaultParagraphFont"/>
    <w:uiPriority w:val="99"/>
    <w:semiHidden/>
    <w:unhideWhenUsed/>
    <w:rsid w:val="009D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14974">
      <w:bodyDiv w:val="1"/>
      <w:marLeft w:val="0"/>
      <w:marRight w:val="0"/>
      <w:marTop w:val="0"/>
      <w:marBottom w:val="0"/>
      <w:divBdr>
        <w:top w:val="none" w:sz="0" w:space="0" w:color="auto"/>
        <w:left w:val="none" w:sz="0" w:space="0" w:color="auto"/>
        <w:bottom w:val="none" w:sz="0" w:space="0" w:color="auto"/>
        <w:right w:val="none" w:sz="0" w:space="0" w:color="auto"/>
      </w:divBdr>
      <w:divsChild>
        <w:div w:id="721946007">
          <w:marLeft w:val="0"/>
          <w:marRight w:val="0"/>
          <w:marTop w:val="0"/>
          <w:marBottom w:val="0"/>
          <w:divBdr>
            <w:top w:val="none" w:sz="0" w:space="0" w:color="auto"/>
            <w:left w:val="none" w:sz="0" w:space="0" w:color="auto"/>
            <w:bottom w:val="none" w:sz="0" w:space="0" w:color="auto"/>
            <w:right w:val="none" w:sz="0" w:space="0" w:color="auto"/>
          </w:divBdr>
          <w:divsChild>
            <w:div w:id="1060637908">
              <w:marLeft w:val="0"/>
              <w:marRight w:val="0"/>
              <w:marTop w:val="0"/>
              <w:marBottom w:val="0"/>
              <w:divBdr>
                <w:top w:val="none" w:sz="0" w:space="0" w:color="auto"/>
                <w:left w:val="none" w:sz="0" w:space="0" w:color="auto"/>
                <w:bottom w:val="none" w:sz="0" w:space="0" w:color="auto"/>
                <w:right w:val="none" w:sz="0" w:space="0" w:color="auto"/>
              </w:divBdr>
            </w:div>
            <w:div w:id="1224831719">
              <w:marLeft w:val="0"/>
              <w:marRight w:val="0"/>
              <w:marTop w:val="0"/>
              <w:marBottom w:val="0"/>
              <w:divBdr>
                <w:top w:val="none" w:sz="0" w:space="0" w:color="auto"/>
                <w:left w:val="none" w:sz="0" w:space="0" w:color="auto"/>
                <w:bottom w:val="none" w:sz="0" w:space="0" w:color="auto"/>
                <w:right w:val="none" w:sz="0" w:space="0" w:color="auto"/>
              </w:divBdr>
            </w:div>
          </w:divsChild>
        </w:div>
        <w:div w:id="1919168764">
          <w:marLeft w:val="0"/>
          <w:marRight w:val="0"/>
          <w:marTop w:val="0"/>
          <w:marBottom w:val="0"/>
          <w:divBdr>
            <w:top w:val="none" w:sz="0" w:space="0" w:color="auto"/>
            <w:left w:val="none" w:sz="0" w:space="0" w:color="auto"/>
            <w:bottom w:val="none" w:sz="0" w:space="0" w:color="auto"/>
            <w:right w:val="none" w:sz="0" w:space="0" w:color="auto"/>
          </w:divBdr>
          <w:divsChild>
            <w:div w:id="12512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3010">
      <w:bodyDiv w:val="1"/>
      <w:marLeft w:val="0"/>
      <w:marRight w:val="0"/>
      <w:marTop w:val="0"/>
      <w:marBottom w:val="0"/>
      <w:divBdr>
        <w:top w:val="none" w:sz="0" w:space="0" w:color="auto"/>
        <w:left w:val="none" w:sz="0" w:space="0" w:color="auto"/>
        <w:bottom w:val="none" w:sz="0" w:space="0" w:color="auto"/>
        <w:right w:val="none" w:sz="0" w:space="0" w:color="auto"/>
      </w:divBdr>
    </w:div>
    <w:div w:id="412047323">
      <w:bodyDiv w:val="1"/>
      <w:marLeft w:val="0"/>
      <w:marRight w:val="0"/>
      <w:marTop w:val="0"/>
      <w:marBottom w:val="0"/>
      <w:divBdr>
        <w:top w:val="none" w:sz="0" w:space="0" w:color="auto"/>
        <w:left w:val="none" w:sz="0" w:space="0" w:color="auto"/>
        <w:bottom w:val="none" w:sz="0" w:space="0" w:color="auto"/>
        <w:right w:val="none" w:sz="0" w:space="0" w:color="auto"/>
      </w:divBdr>
      <w:divsChild>
        <w:div w:id="1754352119">
          <w:marLeft w:val="0"/>
          <w:marRight w:val="0"/>
          <w:marTop w:val="0"/>
          <w:marBottom w:val="0"/>
          <w:divBdr>
            <w:top w:val="none" w:sz="0" w:space="0" w:color="auto"/>
            <w:left w:val="none" w:sz="0" w:space="0" w:color="auto"/>
            <w:bottom w:val="none" w:sz="0" w:space="0" w:color="auto"/>
            <w:right w:val="none" w:sz="0" w:space="0" w:color="auto"/>
          </w:divBdr>
        </w:div>
      </w:divsChild>
    </w:div>
    <w:div w:id="10900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siukola@tuni.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itta.sauni@tuni.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itta.sauni@tuni.fi" TargetMode="External"/><Relationship Id="rId5" Type="http://schemas.openxmlformats.org/officeDocument/2006/relationships/numbering" Target="numbering.xml"/><Relationship Id="rId15" Type="http://schemas.openxmlformats.org/officeDocument/2006/relationships/hyperlink" Target="mailto:tietosuoja@om.f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itta.sauni@tuni.f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shp.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20PSHP\Pohja_PSHP.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8FA55E41707AA4E9A3DF2B38F87D2EB" ma:contentTypeVersion="11" ma:contentTypeDescription="Luo uusi asiakirja." ma:contentTypeScope="" ma:versionID="ca1ef884f7ecfd2edb2e595d86fb0c50">
  <xsd:schema xmlns:xsd="http://www.w3.org/2001/XMLSchema" xmlns:xs="http://www.w3.org/2001/XMLSchema" xmlns:p="http://schemas.microsoft.com/office/2006/metadata/properties" xmlns:ns2="ad3c6937-9a35-4a7d-9885-e12685976cc2" xmlns:ns3="d71e5782-fd84-476f-973a-ede97c1d5208" targetNamespace="http://schemas.microsoft.com/office/2006/metadata/properties" ma:root="true" ma:fieldsID="cdecc1579626381c317583e2d512c446" ns2:_="" ns3:_="">
    <xsd:import namespace="ad3c6937-9a35-4a7d-9885-e12685976cc2"/>
    <xsd:import namespace="d71e5782-fd84-476f-973a-ede97c1d5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6937-9a35-4a7d-9885-e12685976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e5782-fd84-476f-973a-ede97c1d5208"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6D206-AA44-4219-B032-9CDC735A9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6937-9a35-4a7d-9885-e12685976cc2"/>
    <ds:schemaRef ds:uri="d71e5782-fd84-476f-973a-ede97c1d5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4AD02-B8CF-4762-819F-62EE7996E17F}">
  <ds:schemaRefs>
    <ds:schemaRef ds:uri="http://schemas.openxmlformats.org/officeDocument/2006/bibliography"/>
  </ds:schemaRefs>
</ds:datastoreItem>
</file>

<file path=customXml/itemProps3.xml><?xml version="1.0" encoding="utf-8"?>
<ds:datastoreItem xmlns:ds="http://schemas.openxmlformats.org/officeDocument/2006/customXml" ds:itemID="{14A49447-665F-453E-B53A-DE4F9B692A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D5F2A-22B7-4DB9-9BBC-7D2052595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Pohja_PSHP</Template>
  <TotalTime>0</TotalTime>
  <Pages>6</Pages>
  <Words>1947</Words>
  <Characters>15772</Characters>
  <Application>Microsoft Office Word</Application>
  <DocSecurity>0</DocSecurity>
  <Lines>131</Lines>
  <Paragraphs>35</Paragraphs>
  <ScaleCrop>false</ScaleCrop>
  <Company>PSHP</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Pyydönniemi Anne</dc:creator>
  <cp:keywords/>
  <dc:description>PSHP Pohja</dc:description>
  <cp:lastModifiedBy>Lauri Vähätalo (TAU)</cp:lastModifiedBy>
  <cp:revision>2</cp:revision>
  <cp:lastPrinted>1901-01-01T07:58:00Z</cp:lastPrinted>
  <dcterms:created xsi:type="dcterms:W3CDTF">2021-03-17T08:56:00Z</dcterms:created>
  <dcterms:modified xsi:type="dcterms:W3CDTF">2021-03-17T08:56:00Z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VerID">
    <vt:lpwstr>356.11.01.005</vt:lpwstr>
  </property>
  <property fmtid="{D5CDD505-2E9C-101B-9397-08002B2CF9AE}" pid="3" name="ContentTypeId">
    <vt:lpwstr>0x01010078FA55E41707AA4E9A3DF2B38F87D2EB</vt:lpwstr>
  </property>
</Properties>
</file>